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DC668A">
      <w:pPr>
        <w:spacing w:line="360" w:lineRule="auto"/>
        <w:jc w:val="center"/>
        <w:rPr>
          <w:b/>
          <w:bCs/>
          <w:color w:val="auto"/>
          <w:sz w:val="32"/>
          <w:szCs w:val="32"/>
        </w:rPr>
      </w:pPr>
      <w:r>
        <w:rPr>
          <w:rFonts w:hint="eastAsia"/>
          <w:b/>
          <w:bCs/>
          <w:color w:val="auto"/>
          <w:sz w:val="36"/>
          <w:szCs w:val="36"/>
        </w:rPr>
        <w:t>关于上海市第一妇婴保健院</w:t>
      </w:r>
      <w:r>
        <w:rPr>
          <w:rFonts w:hint="eastAsia"/>
          <w:b/>
          <w:bCs/>
          <w:color w:val="auto"/>
          <w:sz w:val="36"/>
          <w:szCs w:val="36"/>
          <w:lang w:val="en-US" w:eastAsia="zh-CN"/>
        </w:rPr>
        <w:t>西</w:t>
      </w:r>
      <w:r>
        <w:rPr>
          <w:rFonts w:hint="eastAsia"/>
          <w:b/>
          <w:bCs/>
          <w:color w:val="auto"/>
          <w:sz w:val="36"/>
          <w:szCs w:val="36"/>
        </w:rPr>
        <w:t>院突发环境事件应急预案</w:t>
      </w:r>
      <w:r>
        <w:rPr>
          <w:rFonts w:hint="eastAsia"/>
          <w:b/>
          <w:bCs/>
          <w:color w:val="auto"/>
          <w:sz w:val="36"/>
          <w:szCs w:val="36"/>
          <w:highlight w:val="none"/>
        </w:rPr>
        <w:t>编制</w:t>
      </w:r>
      <w:r>
        <w:rPr>
          <w:rFonts w:hint="eastAsia"/>
          <w:b/>
          <w:bCs/>
          <w:color w:val="auto"/>
          <w:sz w:val="36"/>
          <w:szCs w:val="36"/>
        </w:rPr>
        <w:t>项目</w:t>
      </w:r>
      <w:r>
        <w:rPr>
          <w:rFonts w:hint="eastAsia"/>
          <w:b/>
          <w:bCs/>
          <w:color w:val="auto"/>
          <w:sz w:val="36"/>
          <w:szCs w:val="36"/>
          <w:lang w:eastAsia="zh-CN"/>
        </w:rPr>
        <w:t>的</w:t>
      </w:r>
      <w:r>
        <w:rPr>
          <w:rFonts w:hint="eastAsia"/>
          <w:b/>
          <w:bCs/>
          <w:color w:val="auto"/>
          <w:sz w:val="36"/>
          <w:szCs w:val="36"/>
        </w:rPr>
        <w:t>需求文件</w:t>
      </w:r>
    </w:p>
    <w:p w14:paraId="4A54AD1C">
      <w:pPr>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我院</w:t>
      </w:r>
      <w:r>
        <w:rPr>
          <w:rFonts w:hint="eastAsia" w:ascii="宋体" w:hAnsi="宋体" w:eastAsia="宋体" w:cs="宋体"/>
          <w:color w:val="auto"/>
          <w:sz w:val="28"/>
          <w:szCs w:val="28"/>
          <w:lang w:val="en-US" w:eastAsia="zh-CN"/>
        </w:rPr>
        <w:t>西</w:t>
      </w:r>
      <w:r>
        <w:rPr>
          <w:rFonts w:hint="eastAsia" w:ascii="宋体" w:hAnsi="宋体" w:eastAsia="宋体" w:cs="宋体"/>
          <w:color w:val="auto"/>
          <w:sz w:val="28"/>
          <w:szCs w:val="28"/>
        </w:rPr>
        <w:t>院突发环境事件应急预案编制项目，对服务单位的要求如下：</w:t>
      </w:r>
    </w:p>
    <w:p w14:paraId="1B1DA7B7">
      <w:pPr>
        <w:numPr>
          <w:ilvl w:val="0"/>
          <w:numId w:val="1"/>
        </w:numPr>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i w:val="0"/>
          <w:iCs w:val="0"/>
          <w:caps w:val="0"/>
          <w:color w:val="auto"/>
          <w:spacing w:val="0"/>
          <w:sz w:val="28"/>
          <w:szCs w:val="28"/>
        </w:rPr>
        <w:t>须在中华人民共和国境内合法注册、具有独立法人资格，能承担民事责任（提供有效的企业营业执照复印件）</w:t>
      </w:r>
      <w:r>
        <w:rPr>
          <w:rFonts w:hint="eastAsia" w:ascii="宋体" w:hAnsi="宋体" w:eastAsia="宋体" w:cs="宋体"/>
          <w:color w:val="auto"/>
          <w:sz w:val="28"/>
          <w:szCs w:val="28"/>
        </w:rPr>
        <w:t>。</w:t>
      </w:r>
      <w:bookmarkStart w:id="0" w:name="_GoBack"/>
      <w:bookmarkEnd w:id="0"/>
    </w:p>
    <w:p w14:paraId="23283EBD">
      <w:pPr>
        <w:numPr>
          <w:ilvl w:val="0"/>
          <w:numId w:val="1"/>
        </w:numPr>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近3年内经营及相关活动中无不良记录。</w:t>
      </w:r>
    </w:p>
    <w:p w14:paraId="329B90D6">
      <w:pPr>
        <w:pStyle w:val="9"/>
        <w:numPr>
          <w:ilvl w:val="0"/>
          <w:numId w:val="0"/>
        </w:numPr>
        <w:spacing w:line="360" w:lineRule="auto"/>
        <w:ind w:left="560" w:leftChars="0"/>
        <w:jc w:val="left"/>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三、</w:t>
      </w:r>
      <w:r>
        <w:rPr>
          <w:rFonts w:hint="eastAsia" w:ascii="宋体" w:hAnsi="宋体" w:eastAsia="宋体" w:cs="宋体"/>
          <w:color w:val="auto"/>
          <w:sz w:val="28"/>
          <w:szCs w:val="28"/>
        </w:rPr>
        <w:t>提交中国裁判文书网犯罪记录查询。</w:t>
      </w:r>
    </w:p>
    <w:p w14:paraId="64A9E3F4">
      <w:pPr>
        <w:pStyle w:val="9"/>
        <w:numPr>
          <w:ilvl w:val="0"/>
          <w:numId w:val="0"/>
        </w:numPr>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四、</w:t>
      </w:r>
      <w:r>
        <w:rPr>
          <w:rFonts w:hint="eastAsia" w:ascii="宋体" w:hAnsi="宋体" w:eastAsia="宋体" w:cs="宋体"/>
          <w:color w:val="auto"/>
          <w:sz w:val="28"/>
          <w:szCs w:val="28"/>
        </w:rPr>
        <w:t>未被“信用中国”网站列入失信被执行人、重大税收违法失信主体等名单，近3年内无重大违法记录。</w:t>
      </w:r>
    </w:p>
    <w:p w14:paraId="4321069F">
      <w:pPr>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招标范围：我院</w:t>
      </w:r>
      <w:r>
        <w:rPr>
          <w:rFonts w:hint="eastAsia" w:ascii="宋体" w:hAnsi="宋体" w:eastAsia="宋体" w:cs="宋体"/>
          <w:color w:val="auto"/>
          <w:sz w:val="28"/>
          <w:szCs w:val="28"/>
          <w:lang w:val="en-US" w:eastAsia="zh-CN"/>
        </w:rPr>
        <w:t>西</w:t>
      </w:r>
      <w:r>
        <w:rPr>
          <w:rFonts w:hint="eastAsia" w:ascii="宋体" w:hAnsi="宋体" w:eastAsia="宋体" w:cs="宋体"/>
          <w:color w:val="auto"/>
          <w:sz w:val="28"/>
          <w:szCs w:val="28"/>
        </w:rPr>
        <w:t>院突发环境事件应急预案编制全过程服务，包括现场踏勘与风险排查、突发环境事件风险评估报告编制、环境应急资源调查报告编制、突发环境事件应急预案编制、组织专家评审、生态环境主管部门备案及成果交付等全部工作，服务内容及成果要求详见附件3。</w:t>
      </w:r>
    </w:p>
    <w:p w14:paraId="2AF90B3C">
      <w:pPr>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本服务依据《企业事业单位突发环境事件应急预案备案管理办法（试行）》（环发〔2015〕4号）、《企业突发环境事件风险分级方法》（HJ 941-2018）、《环境应急资源调查指南》、《企业突发环境事件风险评估指南》等国家及上海市有关法律法规和技术规范开展。</w:t>
      </w:r>
    </w:p>
    <w:p w14:paraId="773AD485">
      <w:pPr>
        <w:spacing w:line="360" w:lineRule="auto"/>
        <w:jc w:val="left"/>
        <w:rPr>
          <w:rFonts w:hint="eastAsia" w:ascii="宋体" w:hAnsi="宋体" w:eastAsia="宋体" w:cs="宋体"/>
          <w:color w:val="auto"/>
          <w:sz w:val="28"/>
          <w:szCs w:val="28"/>
        </w:rPr>
      </w:pPr>
    </w:p>
    <w:p w14:paraId="10D63116">
      <w:pPr>
        <w:spacing w:line="360" w:lineRule="auto"/>
        <w:ind w:left="420" w:left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招标说明：</w:t>
      </w:r>
    </w:p>
    <w:p w14:paraId="35DC7CD2">
      <w:pPr>
        <w:spacing w:line="360" w:lineRule="auto"/>
        <w:ind w:left="420" w:leftChars="200"/>
        <w:jc w:val="left"/>
        <w:rPr>
          <w:rFonts w:hint="eastAsia" w:ascii="宋体" w:hAnsi="宋体" w:eastAsia="宋体" w:cs="宋体"/>
          <w:color w:val="auto"/>
          <w:sz w:val="28"/>
          <w:szCs w:val="28"/>
          <w:lang w:eastAsia="zh-CN"/>
        </w:rPr>
      </w:pPr>
      <w:r>
        <w:rPr>
          <w:rFonts w:hint="eastAsia" w:ascii="宋体" w:hAnsi="宋体" w:eastAsia="宋体" w:cs="宋体"/>
          <w:color w:val="auto"/>
          <w:sz w:val="28"/>
          <w:szCs w:val="28"/>
        </w:rPr>
        <w:t>1、本次评议的过程中所发生的一切费用由参与单位自行承担</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中标单位需支付专家评审费人民币</w:t>
      </w:r>
      <w:r>
        <w:rPr>
          <w:rFonts w:hint="eastAsia" w:ascii="宋体" w:hAnsi="宋体" w:eastAsia="宋体" w:cs="宋体"/>
          <w:color w:val="auto"/>
          <w:sz w:val="28"/>
          <w:szCs w:val="28"/>
          <w:u w:val="single"/>
        </w:rPr>
        <w:t>5000</w:t>
      </w:r>
      <w:r>
        <w:rPr>
          <w:rFonts w:hint="eastAsia" w:ascii="宋体" w:hAnsi="宋体" w:eastAsia="宋体" w:cs="宋体"/>
          <w:color w:val="auto"/>
          <w:sz w:val="28"/>
          <w:szCs w:val="28"/>
        </w:rPr>
        <w:t>元整</w:t>
      </w:r>
      <w:r>
        <w:rPr>
          <w:rFonts w:hint="eastAsia" w:ascii="宋体" w:hAnsi="宋体" w:eastAsia="宋体" w:cs="宋体"/>
          <w:color w:val="auto"/>
          <w:sz w:val="28"/>
          <w:szCs w:val="28"/>
          <w:lang w:eastAsia="zh-CN"/>
        </w:rPr>
        <w:t>。</w:t>
      </w:r>
    </w:p>
    <w:p w14:paraId="413A14FE">
      <w:pPr>
        <w:spacing w:line="360" w:lineRule="auto"/>
        <w:ind w:left="420" w:leftChars="200"/>
        <w:jc w:val="left"/>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rPr>
        <w:t>2、本项目的服务周期要求为合同签订后30个工作日内完成预案编制、</w:t>
      </w:r>
      <w:r>
        <w:rPr>
          <w:rFonts w:hint="eastAsia" w:ascii="宋体" w:hAnsi="宋体" w:eastAsia="宋体" w:cs="宋体"/>
          <w:color w:val="auto"/>
          <w:sz w:val="28"/>
          <w:szCs w:val="28"/>
          <w:highlight w:val="none"/>
        </w:rPr>
        <w:t>专家评</w:t>
      </w:r>
      <w:r>
        <w:rPr>
          <w:rFonts w:hint="eastAsia" w:ascii="宋体" w:hAnsi="宋体" w:eastAsia="宋体" w:cs="宋体"/>
          <w:strike w:val="0"/>
          <w:dstrike w:val="0"/>
          <w:color w:val="auto"/>
          <w:sz w:val="28"/>
          <w:szCs w:val="28"/>
          <w:highlight w:val="none"/>
        </w:rPr>
        <w:t>审并取得生态环境主管部门备案回执。</w:t>
      </w:r>
    </w:p>
    <w:p w14:paraId="5771F0BB">
      <w:pPr>
        <w:spacing w:line="360" w:lineRule="auto"/>
        <w:ind w:left="420" w:left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3、本次项目限价人民币5</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万元，报价为总价包干，包含现场踏勘、报告编制、专家评审、修改完善、备案、成果交付等完成本项目的全部费用。</w:t>
      </w:r>
    </w:p>
    <w:p w14:paraId="7F01CEEF">
      <w:pPr>
        <w:spacing w:line="360" w:lineRule="auto"/>
        <w:ind w:left="420" w:left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4、服务单位在服务期内开展现场工作应遵守医院各项管理规定，不得影响医院正常诊疗秩序；若由于服务单位原因造成医院原有设施设备的损坏及由此造成的一切经济损失和相关责任由服务单位全部承担。</w:t>
      </w:r>
    </w:p>
    <w:p w14:paraId="3A36616A">
      <w:pPr>
        <w:spacing w:line="360" w:lineRule="auto"/>
        <w:ind w:left="420" w:left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5、费用支付：成果文件通过专家评审、完成生态环境主管部门备案并交付全部成果后，院方在收到服务单位付款申请及发票后30个工作日内一次性支付服务费用。</w:t>
      </w:r>
    </w:p>
    <w:p w14:paraId="7F585FF1">
      <w:pPr>
        <w:spacing w:line="360" w:lineRule="auto"/>
        <w:ind w:left="420" w:left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 xml:space="preserve">6、本次需求文件及相关附件均作为合同附件。          </w:t>
      </w:r>
    </w:p>
    <w:p w14:paraId="02A9C56D">
      <w:pPr>
        <w:spacing w:line="360" w:lineRule="auto"/>
        <w:ind w:left="420" w:leftChars="200"/>
        <w:jc w:val="left"/>
        <w:rPr>
          <w:rFonts w:hint="eastAsia" w:ascii="宋体" w:hAnsi="宋体" w:eastAsia="宋体" w:cs="宋体"/>
          <w:color w:val="auto"/>
          <w:sz w:val="28"/>
          <w:szCs w:val="28"/>
        </w:rPr>
      </w:pPr>
    </w:p>
    <w:p w14:paraId="533F07AB">
      <w:pPr>
        <w:spacing w:line="360" w:lineRule="auto"/>
        <w:ind w:left="420" w:left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投标文件要求：</w:t>
      </w:r>
    </w:p>
    <w:p w14:paraId="57D03DEC">
      <w:pPr>
        <w:spacing w:line="360" w:lineRule="auto"/>
        <w:ind w:left="420" w:left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1、参与单位的营业执照及相关资质证书（如有）。</w:t>
      </w:r>
    </w:p>
    <w:p w14:paraId="462FCF8C">
      <w:pPr>
        <w:spacing w:line="360" w:lineRule="auto"/>
        <w:ind w:left="420" w:left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2、回复文件（内容主要为服务报价、服务承诺、服务方案、项目负责人简历、公司类似业绩等）。</w:t>
      </w:r>
    </w:p>
    <w:p w14:paraId="3674C661">
      <w:pPr>
        <w:spacing w:line="360" w:lineRule="auto"/>
        <w:ind w:left="420" w:left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3、相关报价要求见附件3</w:t>
      </w:r>
      <w:r>
        <w:rPr>
          <w:rFonts w:hint="eastAsia" w:ascii="宋体" w:hAnsi="宋体" w:eastAsia="宋体" w:cs="宋体"/>
          <w:color w:val="auto"/>
          <w:sz w:val="28"/>
          <w:szCs w:val="28"/>
          <w:lang w:eastAsia="zh-CN"/>
        </w:rPr>
        <w:t>，</w:t>
      </w:r>
      <w:r>
        <w:rPr>
          <w:rFonts w:hint="eastAsia" w:ascii="宋体" w:hAnsi="宋体" w:eastAsia="宋体" w:cs="宋体"/>
          <w:i w:val="0"/>
          <w:iCs w:val="0"/>
          <w:caps w:val="0"/>
          <w:color w:val="auto"/>
          <w:spacing w:val="0"/>
          <w:sz w:val="28"/>
          <w:szCs w:val="28"/>
        </w:rPr>
        <w:t>对于出现异常低价情况，按财库《关于推动解决政府采购异常低价问题的通知》（〔2026〕2号）要求执行</w:t>
      </w:r>
      <w:r>
        <w:rPr>
          <w:rFonts w:hint="eastAsia" w:ascii="宋体" w:hAnsi="宋体" w:eastAsia="宋体" w:cs="宋体"/>
          <w:color w:val="auto"/>
          <w:sz w:val="28"/>
          <w:szCs w:val="28"/>
        </w:rPr>
        <w:t>。</w:t>
      </w:r>
    </w:p>
    <w:p w14:paraId="6897C6C7">
      <w:pPr>
        <w:spacing w:line="520" w:lineRule="exact"/>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4、裁判文书网犯罪记录查询截图纸质版。查询方式：高级检索→全文检索“（单位名称）”，案由选择“刑事案由”或案件类型选择“刑事案件”。</w:t>
      </w:r>
    </w:p>
    <w:p w14:paraId="491EAF0E">
      <w:pPr>
        <w:spacing w:line="360" w:lineRule="auto"/>
        <w:ind w:left="420" w:left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5、法人代表委托书</w:t>
      </w:r>
    </w:p>
    <w:p w14:paraId="6B035D3D">
      <w:pPr>
        <w:spacing w:line="360" w:lineRule="auto"/>
        <w:ind w:left="420" w:left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6、项目廉政责任书</w:t>
      </w:r>
    </w:p>
    <w:p w14:paraId="5040DBB4">
      <w:pPr>
        <w:spacing w:line="520" w:lineRule="exact"/>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7、递交的纸质投标书应正本1份副本2份，电子版投标文件word、pdf（盖章扫描件）格式各一份（用U盘储存），一并装入投标文件袋内，并在封口处加盖单位公章或投标专用章的骑缝章。</w:t>
      </w:r>
    </w:p>
    <w:p w14:paraId="78A6A007">
      <w:pPr>
        <w:spacing w:line="520" w:lineRule="exact"/>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8、提交时间：2026年11月</w:t>
      </w:r>
      <w:r>
        <w:rPr>
          <w:rFonts w:hint="eastAsia" w:ascii="宋体" w:hAnsi="宋体" w:eastAsia="宋体" w:cs="宋体"/>
          <w:color w:val="auto"/>
          <w:sz w:val="28"/>
          <w:szCs w:val="28"/>
          <w:lang w:val="en-US" w:eastAsia="zh-CN"/>
        </w:rPr>
        <w:t>09</w:t>
      </w:r>
      <w:r>
        <w:rPr>
          <w:rFonts w:hint="eastAsia" w:ascii="宋体" w:hAnsi="宋体" w:eastAsia="宋体" w:cs="宋体"/>
          <w:color w:val="auto"/>
          <w:sz w:val="28"/>
          <w:szCs w:val="28"/>
        </w:rPr>
        <w:t>日下午16:00之前。</w:t>
      </w:r>
    </w:p>
    <w:p w14:paraId="54844B43">
      <w:pPr>
        <w:spacing w:line="520" w:lineRule="exact"/>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9、提交地点：高科西路2699号老科研楼212室。</w:t>
      </w:r>
    </w:p>
    <w:p w14:paraId="1558C60A">
      <w:pPr>
        <w:spacing w:line="360" w:lineRule="auto"/>
        <w:ind w:left="420" w:leftChars="200"/>
        <w:jc w:val="left"/>
        <w:rPr>
          <w:rFonts w:hint="eastAsia" w:ascii="宋体" w:hAnsi="宋体" w:eastAsia="宋体" w:cs="宋体"/>
          <w:color w:val="auto"/>
          <w:sz w:val="28"/>
          <w:szCs w:val="28"/>
        </w:rPr>
      </w:pPr>
    </w:p>
    <w:p w14:paraId="4F1A7E31">
      <w:pPr>
        <w:spacing w:line="360" w:lineRule="auto"/>
        <w:ind w:left="420" w:left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评审标准：</w:t>
      </w:r>
    </w:p>
    <w:p w14:paraId="677B95B9">
      <w:pPr>
        <w:spacing w:line="520" w:lineRule="exact"/>
        <w:ind w:firstLine="560" w:firstLineChars="200"/>
        <w:jc w:val="left"/>
        <w:rPr>
          <w:color w:val="auto"/>
          <w:sz w:val="28"/>
          <w:szCs w:val="28"/>
        </w:rPr>
      </w:pPr>
      <w:r>
        <w:rPr>
          <w:rFonts w:hint="eastAsia"/>
          <w:color w:val="auto"/>
          <w:sz w:val="28"/>
          <w:szCs w:val="28"/>
        </w:rPr>
        <w:t>一、评标总则：</w:t>
      </w:r>
    </w:p>
    <w:p w14:paraId="5AA27144">
      <w:pPr>
        <w:spacing w:line="520" w:lineRule="exact"/>
        <w:ind w:firstLine="560" w:firstLineChars="200"/>
        <w:jc w:val="left"/>
        <w:rPr>
          <w:rFonts w:ascii="宋体" w:hAnsi="宋体" w:eastAsia="宋体" w:cs="宋体"/>
          <w:color w:val="auto"/>
          <w:sz w:val="28"/>
          <w:szCs w:val="28"/>
        </w:rPr>
      </w:pPr>
      <w:r>
        <w:rPr>
          <w:rFonts w:hint="eastAsia" w:ascii="宋体" w:hAnsi="宋体" w:eastAsia="宋体" w:cs="宋体"/>
          <w:color w:val="auto"/>
          <w:sz w:val="28"/>
          <w:szCs w:val="28"/>
        </w:rPr>
        <w:t>1．评审小组由招单位代表及技术经济专家共五人组成。评审小组中的技术经济专家从招标代理单位的专家库中随机抽取。本评审办法是评审小组对投标标书作全面评价的依据。</w:t>
      </w:r>
    </w:p>
    <w:p w14:paraId="48427448">
      <w:pPr>
        <w:spacing w:line="520" w:lineRule="exact"/>
        <w:ind w:firstLine="560" w:firstLineChars="200"/>
        <w:jc w:val="left"/>
        <w:rPr>
          <w:rFonts w:ascii="宋体" w:hAnsi="宋体" w:eastAsia="宋体" w:cs="宋体"/>
          <w:color w:val="auto"/>
          <w:sz w:val="28"/>
          <w:szCs w:val="28"/>
        </w:rPr>
      </w:pPr>
      <w:r>
        <w:rPr>
          <w:rFonts w:hint="eastAsia" w:ascii="宋体" w:hAnsi="宋体" w:eastAsia="宋体" w:cs="宋体"/>
          <w:color w:val="auto"/>
          <w:sz w:val="28"/>
          <w:szCs w:val="28"/>
        </w:rPr>
        <w:t>2．评审小组在评审过程中若发现投标人有恶意竞标（含恶意低价或恶意哄抬报价的情况）、其投标报价明显低于其他报价且明显低于市场价的或其投标报价明显高于其他报价且高于市场价，将做出对该投标标书最不利的量化，甚至被评为废标。</w:t>
      </w:r>
    </w:p>
    <w:p w14:paraId="3D7A831A">
      <w:pPr>
        <w:spacing w:line="520" w:lineRule="exact"/>
        <w:ind w:firstLine="560" w:firstLineChars="200"/>
        <w:jc w:val="left"/>
        <w:rPr>
          <w:rFonts w:ascii="宋体" w:hAnsi="宋体" w:eastAsia="宋体" w:cs="宋体"/>
          <w:color w:val="auto"/>
          <w:sz w:val="28"/>
          <w:szCs w:val="28"/>
        </w:rPr>
      </w:pPr>
      <w:r>
        <w:rPr>
          <w:rFonts w:hint="eastAsia" w:ascii="宋体" w:hAnsi="宋体" w:eastAsia="宋体" w:cs="宋体"/>
          <w:color w:val="auto"/>
          <w:sz w:val="28"/>
          <w:szCs w:val="28"/>
        </w:rPr>
        <w:t>3．评审小组成员应当客观、公正地履行职责，按要求提出汇总评审意见，并在评审意见上签名。</w:t>
      </w:r>
    </w:p>
    <w:p w14:paraId="39A94505">
      <w:pPr>
        <w:spacing w:line="520" w:lineRule="exact"/>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4．本评审标准总分</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100分</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价格部分(20</w:t>
      </w:r>
      <w:r>
        <w:rPr>
          <w:rFonts w:hint="eastAsia" w:ascii="宋体" w:hAnsi="宋体" w:eastAsia="宋体" w:cs="宋体"/>
          <w:color w:val="auto"/>
          <w:sz w:val="28"/>
          <w:szCs w:val="28"/>
        </w:rPr>
        <w:t>分</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+商务</w:t>
      </w:r>
      <w:r>
        <w:rPr>
          <w:rFonts w:hint="eastAsia" w:ascii="宋体" w:hAnsi="宋体" w:eastAsia="宋体" w:cs="宋体"/>
          <w:color w:val="auto"/>
          <w:sz w:val="28"/>
          <w:szCs w:val="28"/>
          <w:lang w:val="en-US" w:eastAsia="zh-CN"/>
        </w:rPr>
        <w:t>/技术部分(</w:t>
      </w:r>
      <w:r>
        <w:rPr>
          <w:rFonts w:hint="eastAsia" w:ascii="宋体" w:hAnsi="宋体" w:eastAsia="宋体" w:cs="宋体"/>
          <w:color w:val="auto"/>
          <w:sz w:val="28"/>
          <w:szCs w:val="28"/>
        </w:rPr>
        <w:t>满分</w:t>
      </w:r>
      <w:r>
        <w:rPr>
          <w:rFonts w:hint="eastAsia" w:ascii="宋体" w:hAnsi="宋体" w:eastAsia="宋体" w:cs="宋体"/>
          <w:color w:val="auto"/>
          <w:sz w:val="28"/>
          <w:szCs w:val="28"/>
          <w:lang w:val="en-US" w:eastAsia="zh-CN"/>
        </w:rPr>
        <w:t>80</w:t>
      </w:r>
      <w:r>
        <w:rPr>
          <w:rFonts w:hint="eastAsia" w:ascii="宋体" w:hAnsi="宋体" w:eastAsia="宋体" w:cs="宋体"/>
          <w:color w:val="auto"/>
          <w:sz w:val="28"/>
          <w:szCs w:val="28"/>
        </w:rPr>
        <w:t>分</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，评标小组成员依据评标细则各自打分，经算术平均后（分值保留小数点后两位，中间采用插入法计算）得出各投标单位的最终得分，得分最高者为中标单位。</w:t>
      </w:r>
    </w:p>
    <w:p w14:paraId="5F801303">
      <w:pPr>
        <w:spacing w:line="520" w:lineRule="exact"/>
        <w:ind w:firstLine="560" w:firstLineChars="200"/>
        <w:jc w:val="left"/>
        <w:rPr>
          <w:rFonts w:ascii="宋体" w:hAnsi="宋体" w:eastAsia="宋体" w:cs="宋体"/>
          <w:color w:val="auto"/>
          <w:sz w:val="28"/>
          <w:szCs w:val="28"/>
        </w:rPr>
      </w:pPr>
      <w:r>
        <w:rPr>
          <w:rFonts w:hint="eastAsia" w:ascii="宋体" w:hAnsi="宋体" w:eastAsia="宋体" w:cs="宋体"/>
          <w:color w:val="auto"/>
          <w:sz w:val="28"/>
          <w:szCs w:val="28"/>
        </w:rPr>
        <w:t>二、商务标（</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0分）</w:t>
      </w:r>
    </w:p>
    <w:p w14:paraId="40C95CFC">
      <w:pPr>
        <w:spacing w:line="520" w:lineRule="exact"/>
        <w:ind w:firstLine="560" w:firstLineChars="200"/>
        <w:jc w:val="left"/>
        <w:rPr>
          <w:rFonts w:ascii="宋体" w:hAnsi="宋体" w:eastAsia="宋体" w:cs="宋体"/>
          <w:color w:val="auto"/>
          <w:sz w:val="28"/>
          <w:szCs w:val="28"/>
        </w:rPr>
      </w:pPr>
      <w:r>
        <w:rPr>
          <w:rFonts w:hint="eastAsia" w:ascii="宋体" w:hAnsi="宋体" w:eastAsia="宋体" w:cs="宋体"/>
          <w:color w:val="auto"/>
          <w:sz w:val="28"/>
          <w:szCs w:val="28"/>
        </w:rPr>
        <w:t>价格分采用采用招标投标法（综合评估法），基准价=所有经评审的投标报价的平均价；上述基准价为报价标满分(20分)，在此基准价上经评审的评标价每上浮1%扣0.5分，下浮1%扣0.5分，中间用插入法计算，保留小数点两位，以此类推，扣完为止、不计负分（保留小数点两位）。</w:t>
      </w:r>
    </w:p>
    <w:p w14:paraId="0D63BCCD">
      <w:pPr>
        <w:spacing w:line="520" w:lineRule="exact"/>
        <w:ind w:firstLine="560" w:firstLineChars="200"/>
        <w:jc w:val="left"/>
        <w:rPr>
          <w:rFonts w:ascii="宋体" w:hAnsi="宋体" w:eastAsia="宋体" w:cs="宋体"/>
          <w:color w:val="auto"/>
          <w:sz w:val="28"/>
          <w:szCs w:val="28"/>
        </w:rPr>
      </w:pPr>
      <w:r>
        <w:rPr>
          <w:rFonts w:hint="eastAsia" w:ascii="宋体" w:hAnsi="宋体" w:eastAsia="宋体" w:cs="宋体"/>
          <w:color w:val="auto"/>
          <w:sz w:val="28"/>
          <w:szCs w:val="28"/>
        </w:rPr>
        <w:t>三、</w:t>
      </w:r>
      <w:r>
        <w:rPr>
          <w:rFonts w:hint="eastAsia" w:ascii="宋体" w:hAnsi="宋体" w:eastAsia="宋体" w:cs="宋体"/>
          <w:color w:val="auto"/>
          <w:sz w:val="28"/>
          <w:szCs w:val="28"/>
          <w:lang w:val="en-US" w:eastAsia="zh-CN"/>
        </w:rPr>
        <w:t>商务/</w:t>
      </w:r>
      <w:r>
        <w:rPr>
          <w:rFonts w:hint="eastAsia" w:ascii="宋体" w:hAnsi="宋体" w:eastAsia="宋体" w:cs="宋体"/>
          <w:color w:val="auto"/>
          <w:sz w:val="28"/>
          <w:szCs w:val="28"/>
        </w:rPr>
        <w:t>技术标：</w:t>
      </w:r>
      <w:r>
        <w:rPr>
          <w:rFonts w:hint="eastAsia" w:ascii="宋体" w:hAnsi="宋体" w:eastAsia="宋体" w:cs="宋体"/>
          <w:color w:val="auto"/>
          <w:sz w:val="28"/>
          <w:szCs w:val="28"/>
          <w:lang w:val="en-US" w:eastAsia="zh-CN"/>
        </w:rPr>
        <w:t>8</w:t>
      </w:r>
      <w:r>
        <w:rPr>
          <w:rFonts w:hint="eastAsia" w:ascii="宋体" w:hAnsi="宋体" w:eastAsia="宋体" w:cs="宋体"/>
          <w:color w:val="auto"/>
          <w:sz w:val="28"/>
          <w:szCs w:val="28"/>
        </w:rPr>
        <w:t>0分</w:t>
      </w:r>
    </w:p>
    <w:p w14:paraId="7868EA4A">
      <w:pPr>
        <w:spacing w:line="520" w:lineRule="exact"/>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lang w:val="en-US" w:eastAsia="zh-CN"/>
        </w:rPr>
        <w:t>服务</w:t>
      </w:r>
      <w:r>
        <w:rPr>
          <w:rFonts w:hint="eastAsia" w:ascii="宋体" w:hAnsi="宋体" w:eastAsia="宋体" w:cs="宋体"/>
          <w:color w:val="auto"/>
          <w:sz w:val="28"/>
          <w:szCs w:val="28"/>
        </w:rPr>
        <w:t>方案（0-</w:t>
      </w:r>
      <w:r>
        <w:rPr>
          <w:rFonts w:hint="eastAsia" w:ascii="宋体" w:hAnsi="宋体" w:eastAsia="宋体" w:cs="宋体"/>
          <w:color w:val="auto"/>
          <w:sz w:val="28"/>
          <w:szCs w:val="28"/>
          <w:lang w:val="en-US" w:eastAsia="zh-CN"/>
        </w:rPr>
        <w:t>35</w:t>
      </w:r>
      <w:r>
        <w:rPr>
          <w:rFonts w:hint="eastAsia" w:ascii="宋体" w:hAnsi="宋体" w:eastAsia="宋体" w:cs="宋体"/>
          <w:color w:val="auto"/>
          <w:sz w:val="28"/>
          <w:szCs w:val="28"/>
        </w:rPr>
        <w:t>分）：根据突发环境事件应急预案编制技术路线的合理性、现场踏勘与环境风险识别排查方案的针对性、突发环境事件风险评估方法的规范性、应急预案体系的完整性与针对性、专家评审组织及生态环境主管部门备案推进安排的可行性、进度计划与质量保障措施的完备性</w:t>
      </w:r>
      <w:r>
        <w:rPr>
          <w:rFonts w:hint="default" w:ascii="宋体" w:hAnsi="宋体" w:eastAsia="宋体" w:cs="宋体"/>
          <w:color w:val="auto"/>
          <w:sz w:val="28"/>
          <w:szCs w:val="28"/>
        </w:rPr>
        <w:t>进行综合评分。</w:t>
      </w:r>
    </w:p>
    <w:p w14:paraId="6CCCE343">
      <w:pPr>
        <w:spacing w:line="520" w:lineRule="exact"/>
        <w:ind w:firstLine="560" w:firstLineChars="200"/>
        <w:jc w:val="left"/>
        <w:rPr>
          <w:rFonts w:ascii="宋体" w:hAnsi="宋体" w:eastAsia="宋体" w:cs="宋体"/>
          <w:color w:val="auto"/>
          <w:sz w:val="28"/>
          <w:szCs w:val="28"/>
        </w:rPr>
      </w:pPr>
      <w:r>
        <w:rPr>
          <w:rFonts w:hint="eastAsia" w:ascii="宋体" w:hAnsi="宋体" w:eastAsia="宋体" w:cs="宋体"/>
          <w:color w:val="auto"/>
          <w:sz w:val="28"/>
          <w:szCs w:val="28"/>
        </w:rPr>
        <w:t>2.投入的人员数量、资质（0-1</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分）：根据项目团队结构合理性、相关专业技术人员数量及资质、类似项目从业经验，综合评价团队技术实力与项目管理能力。</w:t>
      </w:r>
    </w:p>
    <w:p w14:paraId="5A5ED81A">
      <w:pPr>
        <w:spacing w:line="520" w:lineRule="exact"/>
        <w:ind w:firstLine="560" w:firstLineChars="200"/>
        <w:jc w:val="left"/>
        <w:rPr>
          <w:rFonts w:ascii="宋体" w:hAnsi="宋体" w:eastAsia="宋体" w:cs="宋体"/>
          <w:color w:val="auto"/>
          <w:sz w:val="28"/>
          <w:szCs w:val="28"/>
        </w:rPr>
      </w:pPr>
      <w:r>
        <w:rPr>
          <w:rFonts w:hint="eastAsia" w:ascii="宋体" w:hAnsi="宋体" w:eastAsia="宋体" w:cs="宋体"/>
          <w:color w:val="auto"/>
          <w:sz w:val="28"/>
          <w:szCs w:val="28"/>
        </w:rPr>
        <w:t>3.机构规模、综合能力和社会信誉（0-10分）：从企业资质等级、规模、技术水平能力、行业奖项及无重大事故诉讼记录等方面，综合评估企业履约能力与社会信誉。</w:t>
      </w:r>
    </w:p>
    <w:p w14:paraId="0155E498">
      <w:pPr>
        <w:spacing w:line="520" w:lineRule="exact"/>
        <w:ind w:firstLine="560" w:firstLineChars="200"/>
        <w:jc w:val="left"/>
        <w:rPr>
          <w:rFonts w:ascii="宋体" w:hAnsi="宋体" w:eastAsia="宋体" w:cs="宋体"/>
          <w:color w:val="auto"/>
          <w:sz w:val="28"/>
          <w:szCs w:val="28"/>
        </w:rPr>
      </w:pPr>
      <w:r>
        <w:rPr>
          <w:rFonts w:hint="eastAsia" w:ascii="宋体" w:hAnsi="宋体" w:eastAsia="宋体" w:cs="宋体"/>
          <w:color w:val="auto"/>
          <w:sz w:val="28"/>
          <w:szCs w:val="28"/>
        </w:rPr>
        <w:t>4.经验和业绩（0-</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rPr>
        <w:t>分）：提供近三年</w:t>
      </w:r>
      <w:r>
        <w:rPr>
          <w:rFonts w:hint="eastAsia" w:ascii="宋体" w:hAnsi="宋体" w:eastAsia="宋体" w:cs="宋体"/>
          <w:color w:val="auto"/>
          <w:sz w:val="28"/>
          <w:szCs w:val="28"/>
          <w:lang w:val="en-US" w:eastAsia="zh-CN"/>
        </w:rPr>
        <w:t>类似</w:t>
      </w:r>
      <w:r>
        <w:rPr>
          <w:rFonts w:hint="eastAsia" w:ascii="宋体" w:hAnsi="宋体" w:eastAsia="宋体" w:cs="宋体"/>
          <w:color w:val="auto"/>
          <w:sz w:val="28"/>
          <w:szCs w:val="28"/>
        </w:rPr>
        <w:t>项目（合同关键页）作为有效证明，根据业绩数量、项目规模匹配度、成果质量及与本项目关联度进行</w:t>
      </w:r>
      <w:r>
        <w:rPr>
          <w:rFonts w:hint="eastAsia" w:ascii="宋体" w:hAnsi="宋体" w:eastAsia="宋体" w:cs="宋体"/>
          <w:color w:val="auto"/>
          <w:sz w:val="28"/>
          <w:szCs w:val="28"/>
          <w:lang w:val="en-US" w:eastAsia="zh-CN"/>
        </w:rPr>
        <w:t>综合评价</w:t>
      </w:r>
      <w:r>
        <w:rPr>
          <w:rFonts w:hint="eastAsia" w:ascii="宋体" w:hAnsi="宋体" w:eastAsia="宋体" w:cs="宋体"/>
          <w:color w:val="auto"/>
          <w:sz w:val="28"/>
          <w:szCs w:val="28"/>
        </w:rPr>
        <w:t>。</w:t>
      </w:r>
    </w:p>
    <w:p w14:paraId="66553AA5">
      <w:pPr>
        <w:spacing w:line="520" w:lineRule="exact"/>
        <w:ind w:firstLine="560" w:firstLineChars="200"/>
        <w:jc w:val="left"/>
        <w:rPr>
          <w:rFonts w:ascii="宋体" w:hAnsi="宋体" w:eastAsia="宋体" w:cs="宋体"/>
          <w:color w:val="auto"/>
          <w:sz w:val="28"/>
          <w:szCs w:val="28"/>
        </w:rPr>
      </w:pPr>
      <w:r>
        <w:rPr>
          <w:rFonts w:hint="eastAsia" w:ascii="宋体" w:hAnsi="宋体" w:eastAsia="宋体" w:cs="宋体"/>
          <w:color w:val="auto"/>
          <w:sz w:val="28"/>
          <w:szCs w:val="28"/>
        </w:rPr>
        <w:t>5.服务能力响应程度（0-</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rPr>
        <w:t>分）:通过服务响应时效、服务能力情况、服务承诺完整度、增值服务可行性等评估服务保障能力。</w:t>
      </w:r>
    </w:p>
    <w:p w14:paraId="1F852C2A">
      <w:pPr>
        <w:spacing w:line="520" w:lineRule="exact"/>
        <w:ind w:left="420" w:leftChars="200"/>
        <w:jc w:val="left"/>
        <w:rPr>
          <w:color w:val="auto"/>
          <w:sz w:val="28"/>
          <w:szCs w:val="28"/>
        </w:rPr>
      </w:pPr>
    </w:p>
    <w:p w14:paraId="14658E9B">
      <w:pPr>
        <w:pStyle w:val="2"/>
        <w:rPr>
          <w:rFonts w:hint="eastAsia"/>
          <w:b/>
          <w:bCs/>
          <w:color w:val="auto"/>
        </w:rPr>
      </w:pPr>
    </w:p>
    <w:p w14:paraId="61A092EA">
      <w:pPr>
        <w:spacing w:line="360" w:lineRule="auto"/>
        <w:ind w:left="420" w:leftChars="200" w:firstLine="3780" w:firstLineChars="1350"/>
        <w:jc w:val="center"/>
        <w:rPr>
          <w:rFonts w:hint="eastAsia" w:ascii="宋体" w:hAnsi="宋体" w:eastAsia="宋体" w:cs="宋体"/>
          <w:color w:val="auto"/>
          <w:sz w:val="28"/>
          <w:szCs w:val="28"/>
        </w:rPr>
      </w:pPr>
      <w:r>
        <w:rPr>
          <w:rFonts w:hint="eastAsia" w:ascii="宋体" w:hAnsi="宋体" w:eastAsia="宋体" w:cs="宋体"/>
          <w:color w:val="auto"/>
          <w:sz w:val="28"/>
          <w:szCs w:val="28"/>
        </w:rPr>
        <w:t>上海市第一妇婴保健院</w:t>
      </w:r>
    </w:p>
    <w:p w14:paraId="5748CBDD">
      <w:pPr>
        <w:spacing w:line="360" w:lineRule="auto"/>
        <w:ind w:left="420" w:leftChars="200" w:firstLine="3780" w:firstLineChars="1350"/>
        <w:jc w:val="center"/>
        <w:rPr>
          <w:rFonts w:hint="eastAsia" w:ascii="宋体" w:hAnsi="宋体" w:eastAsia="宋体" w:cs="宋体"/>
          <w:color w:val="auto"/>
          <w:sz w:val="28"/>
          <w:szCs w:val="28"/>
        </w:rPr>
      </w:pPr>
      <w:r>
        <w:rPr>
          <w:rFonts w:hint="eastAsia" w:ascii="宋体" w:hAnsi="宋体" w:eastAsia="宋体" w:cs="宋体"/>
          <w:color w:val="auto"/>
          <w:sz w:val="28"/>
          <w:szCs w:val="28"/>
        </w:rPr>
        <w:t>2026年1</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月</w:t>
      </w:r>
      <w:r>
        <w:rPr>
          <w:rFonts w:hint="eastAsia" w:ascii="宋体" w:hAnsi="宋体" w:eastAsia="宋体" w:cs="宋体"/>
          <w:color w:val="auto"/>
          <w:sz w:val="28"/>
          <w:szCs w:val="28"/>
          <w:lang w:val="en-US" w:eastAsia="zh-CN"/>
        </w:rPr>
        <w:t>04</w:t>
      </w:r>
      <w:r>
        <w:rPr>
          <w:rFonts w:hint="eastAsia" w:ascii="宋体" w:hAnsi="宋体" w:eastAsia="宋体" w:cs="宋体"/>
          <w:color w:val="auto"/>
          <w:sz w:val="28"/>
          <w:szCs w:val="28"/>
        </w:rPr>
        <w:t>日</w:t>
      </w:r>
    </w:p>
    <w:p w14:paraId="149AAF0C">
      <w:pPr>
        <w:rPr>
          <w:sz w:val="28"/>
          <w:szCs w:val="28"/>
          <w:highlight w:val="yellow"/>
        </w:rPr>
      </w:pPr>
      <w:r>
        <w:rPr>
          <w:rFonts w:hint="eastAsia"/>
          <w:sz w:val="28"/>
          <w:szCs w:val="28"/>
          <w:highlight w:val="yellow"/>
        </w:rPr>
        <w:br w:type="page"/>
      </w:r>
    </w:p>
    <w:p w14:paraId="1EA1B35C">
      <w:pPr>
        <w:spacing w:line="460" w:lineRule="exact"/>
        <w:jc w:val="left"/>
        <w:rPr>
          <w:sz w:val="30"/>
          <w:lang w:val="en-GB"/>
        </w:rPr>
      </w:pPr>
      <w:r>
        <w:rPr>
          <w:rFonts w:hint="eastAsia"/>
          <w:sz w:val="24"/>
        </w:rPr>
        <w:t>附件1</w:t>
      </w:r>
    </w:p>
    <w:p w14:paraId="1127F98C">
      <w:pPr>
        <w:spacing w:line="460" w:lineRule="exact"/>
        <w:jc w:val="center"/>
        <w:rPr>
          <w:b/>
          <w:bCs/>
          <w:sz w:val="30"/>
          <w:szCs w:val="30"/>
        </w:rPr>
      </w:pPr>
      <w:r>
        <w:rPr>
          <w:rFonts w:hint="eastAsia"/>
          <w:b/>
          <w:bCs/>
          <w:sz w:val="30"/>
          <w:szCs w:val="30"/>
        </w:rPr>
        <w:t>法人代表委托书</w:t>
      </w:r>
    </w:p>
    <w:p w14:paraId="7C790CA1">
      <w:pPr>
        <w:spacing w:line="480" w:lineRule="auto"/>
        <w:rPr>
          <w:rFonts w:hint="eastAsia" w:ascii="宋体" w:hAnsi="宋体"/>
          <w:sz w:val="24"/>
        </w:rPr>
      </w:pPr>
    </w:p>
    <w:p w14:paraId="20C856AC">
      <w:pPr>
        <w:spacing w:line="480" w:lineRule="auto"/>
        <w:rPr>
          <w:rFonts w:hint="eastAsia" w:ascii="宋体" w:hAnsi="宋体"/>
          <w:sz w:val="24"/>
        </w:rPr>
      </w:pPr>
    </w:p>
    <w:p w14:paraId="328A063C">
      <w:pPr>
        <w:spacing w:line="480" w:lineRule="auto"/>
        <w:ind w:firstLine="482"/>
        <w:rPr>
          <w:rFonts w:hint="eastAsia" w:ascii="宋体" w:hAnsi="宋体"/>
          <w:sz w:val="24"/>
        </w:rPr>
      </w:pPr>
      <w:r>
        <w:rPr>
          <w:rFonts w:hint="eastAsia" w:ascii="宋体" w:hAnsi="宋体"/>
          <w:sz w:val="24"/>
        </w:rPr>
        <w:t>本授权书声明：</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（投标商名称）</w:t>
      </w:r>
      <w:r>
        <w:rPr>
          <w:rFonts w:ascii="宋体" w:hAnsi="宋体"/>
          <w:sz w:val="24"/>
          <w:u w:val="single"/>
        </w:rPr>
        <w:t xml:space="preserve">        </w:t>
      </w:r>
      <w:r>
        <w:rPr>
          <w:rFonts w:hint="eastAsia" w:ascii="宋体" w:hAnsi="宋体"/>
          <w:sz w:val="24"/>
        </w:rPr>
        <w:t>（法定代表人姓名、职务）授权</w:t>
      </w:r>
      <w:r>
        <w:rPr>
          <w:rFonts w:ascii="宋体" w:hAnsi="宋体"/>
          <w:sz w:val="24"/>
          <w:u w:val="single"/>
        </w:rPr>
        <w:t xml:space="preserve">            </w:t>
      </w:r>
      <w:r>
        <w:rPr>
          <w:rFonts w:hint="eastAsia" w:ascii="宋体" w:hAnsi="宋体"/>
          <w:sz w:val="24"/>
        </w:rPr>
        <w:t>（被授权人的姓名、职务）为我方公司</w:t>
      </w:r>
    </w:p>
    <w:p w14:paraId="4D279BB9">
      <w:pPr>
        <w:spacing w:line="480" w:lineRule="auto"/>
        <w:rPr>
          <w:rFonts w:hint="eastAsia" w:ascii="宋体" w:hAnsi="宋体"/>
          <w:sz w:val="24"/>
        </w:rPr>
      </w:pPr>
      <w:r>
        <w:rPr>
          <w:rFonts w:hint="eastAsia" w:ascii="宋体" w:hAnsi="宋体"/>
          <w:sz w:val="24"/>
          <w:u w:val="single"/>
        </w:rPr>
        <w:t xml:space="preserve">               </w:t>
      </w:r>
      <w:r>
        <w:rPr>
          <w:rFonts w:hint="eastAsia" w:ascii="宋体" w:hAnsi="宋体"/>
          <w:bCs/>
          <w:sz w:val="24"/>
        </w:rPr>
        <w:t>项目</w:t>
      </w:r>
      <w:r>
        <w:rPr>
          <w:rFonts w:hint="eastAsia" w:ascii="宋体" w:hAnsi="宋体"/>
          <w:sz w:val="24"/>
        </w:rPr>
        <w:t>的合法代理人，以本公司名义全权处理一切与该项目有关的事务（含合同签订）。</w:t>
      </w:r>
    </w:p>
    <w:p w14:paraId="6E1ED37C">
      <w:pPr>
        <w:tabs>
          <w:tab w:val="left" w:pos="5560"/>
        </w:tabs>
        <w:spacing w:line="480" w:lineRule="auto"/>
        <w:ind w:firstLine="646"/>
        <w:rPr>
          <w:rFonts w:hint="eastAsia" w:ascii="宋体" w:hAnsi="宋体"/>
          <w:sz w:val="24"/>
        </w:rPr>
      </w:pPr>
      <w:r>
        <w:rPr>
          <w:rFonts w:ascii="宋体" w:hAnsi="宋体"/>
          <w:sz w:val="24"/>
        </w:rPr>
        <w:tab/>
      </w:r>
    </w:p>
    <w:p w14:paraId="443933EF">
      <w:pPr>
        <w:spacing w:line="480" w:lineRule="auto"/>
        <w:ind w:firstLine="645"/>
        <w:rPr>
          <w:rFonts w:hint="eastAsia" w:ascii="宋体" w:hAnsi="宋体"/>
          <w:sz w:val="24"/>
        </w:rPr>
      </w:pPr>
      <w:r>
        <w:rPr>
          <w:rFonts w:hint="eastAsia" w:ascii="宋体" w:hAnsi="宋体"/>
          <w:sz w:val="24"/>
        </w:rPr>
        <w:t>本授权书于</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日签字生效，特此声明。</w:t>
      </w:r>
    </w:p>
    <w:p w14:paraId="440F6085">
      <w:pPr>
        <w:spacing w:line="480" w:lineRule="auto"/>
        <w:ind w:firstLine="645"/>
        <w:rPr>
          <w:rFonts w:hint="eastAsia" w:ascii="宋体" w:hAnsi="宋体"/>
          <w:sz w:val="24"/>
        </w:rPr>
      </w:pPr>
    </w:p>
    <w:p w14:paraId="752A9CD7">
      <w:pPr>
        <w:spacing w:line="480" w:lineRule="auto"/>
        <w:rPr>
          <w:rFonts w:hint="eastAsia" w:ascii="宋体" w:hAnsi="宋体"/>
          <w:sz w:val="24"/>
        </w:rPr>
      </w:pPr>
      <w:r>
        <w:rPr>
          <w:rFonts w:hint="eastAsia" w:ascii="宋体" w:hAnsi="宋体"/>
          <w:sz w:val="24"/>
        </w:rPr>
        <w:t>法人代表签字：</w:t>
      </w:r>
    </w:p>
    <w:p w14:paraId="286A3A13">
      <w:pPr>
        <w:spacing w:line="480" w:lineRule="auto"/>
        <w:rPr>
          <w:rFonts w:hint="eastAsia" w:ascii="宋体" w:hAnsi="宋体"/>
          <w:sz w:val="24"/>
        </w:rPr>
      </w:pPr>
      <w:r>
        <w:rPr>
          <w:rFonts w:hint="eastAsia" w:ascii="宋体" w:hAnsi="宋体"/>
          <w:sz w:val="24"/>
        </w:rPr>
        <w:t>投标单位全称（公章）：</w:t>
      </w:r>
    </w:p>
    <w:p w14:paraId="2F60C457">
      <w:pPr>
        <w:spacing w:line="480" w:lineRule="auto"/>
        <w:rPr>
          <w:rFonts w:hint="eastAsia" w:ascii="宋体" w:hAnsi="宋体"/>
          <w:sz w:val="24"/>
        </w:rPr>
      </w:pPr>
      <w:r>
        <w:rPr>
          <w:rFonts w:hint="eastAsia" w:ascii="宋体" w:hAnsi="宋体"/>
          <w:sz w:val="24"/>
        </w:rPr>
        <w:t>日期：</w:t>
      </w:r>
    </w:p>
    <w:p w14:paraId="135E22E0">
      <w:pPr>
        <w:spacing w:line="480" w:lineRule="auto"/>
        <w:rPr>
          <w:rFonts w:hint="eastAsia" w:ascii="宋体" w:hAnsi="宋体"/>
          <w:sz w:val="24"/>
        </w:rPr>
      </w:pPr>
      <w:r>
        <w:rPr>
          <w:rFonts w:hint="eastAsia" w:ascii="宋体" w:hAnsi="宋体"/>
          <w:sz w:val="24"/>
        </w:rPr>
        <w:t>附：</w:t>
      </w:r>
    </w:p>
    <w:p w14:paraId="1FE1D4F0">
      <w:pPr>
        <w:spacing w:line="480" w:lineRule="auto"/>
        <w:rPr>
          <w:rFonts w:hint="eastAsia" w:ascii="宋体" w:hAnsi="宋体"/>
          <w:sz w:val="24"/>
        </w:rPr>
      </w:pPr>
      <w:r>
        <w:rPr>
          <w:rFonts w:hint="eastAsia" w:ascii="宋体" w:hAnsi="宋体"/>
          <w:sz w:val="24"/>
        </w:rPr>
        <w:t>全权代表姓名：</w:t>
      </w:r>
    </w:p>
    <w:p w14:paraId="336E4098">
      <w:pPr>
        <w:spacing w:line="480" w:lineRule="auto"/>
        <w:rPr>
          <w:rFonts w:hint="eastAsia" w:ascii="宋体" w:hAnsi="宋体"/>
          <w:sz w:val="24"/>
        </w:rPr>
      </w:pPr>
      <w:r>
        <w:rPr>
          <w:rFonts w:hint="eastAsia" w:ascii="宋体" w:hAnsi="宋体"/>
          <w:sz w:val="24"/>
        </w:rPr>
        <w:t>职        务：</w:t>
      </w:r>
    </w:p>
    <w:p w14:paraId="5E814BE2">
      <w:pPr>
        <w:spacing w:line="480" w:lineRule="auto"/>
        <w:rPr>
          <w:rFonts w:hint="eastAsia" w:ascii="宋体" w:hAnsi="宋体"/>
          <w:sz w:val="24"/>
        </w:rPr>
      </w:pPr>
      <w:r>
        <w:rPr>
          <w:rFonts w:hint="eastAsia" w:ascii="宋体" w:hAnsi="宋体"/>
          <w:sz w:val="24"/>
        </w:rPr>
        <w:t>详细通讯地址：</w:t>
      </w:r>
    </w:p>
    <w:p w14:paraId="37467D44">
      <w:pPr>
        <w:spacing w:line="480" w:lineRule="auto"/>
        <w:rPr>
          <w:rFonts w:hint="eastAsia" w:ascii="宋体" w:hAnsi="宋体"/>
          <w:sz w:val="24"/>
        </w:rPr>
      </w:pPr>
      <w:r>
        <w:rPr>
          <w:rFonts w:hint="eastAsia" w:ascii="宋体" w:hAnsi="宋体"/>
          <w:sz w:val="24"/>
        </w:rPr>
        <w:t>邮 政 编 码：</w:t>
      </w:r>
    </w:p>
    <w:p w14:paraId="79F80188">
      <w:pPr>
        <w:spacing w:line="480" w:lineRule="auto"/>
        <w:rPr>
          <w:rFonts w:hint="eastAsia" w:ascii="宋体" w:hAnsi="宋体"/>
          <w:sz w:val="24"/>
        </w:rPr>
      </w:pPr>
      <w:r>
        <w:rPr>
          <w:rFonts w:hint="eastAsia" w:ascii="宋体" w:hAnsi="宋体"/>
          <w:sz w:val="24"/>
        </w:rPr>
        <w:t>传       真：</w:t>
      </w:r>
    </w:p>
    <w:p w14:paraId="5A15449C">
      <w:pPr>
        <w:rPr>
          <w:sz w:val="28"/>
          <w:szCs w:val="28"/>
          <w:highlight w:val="yellow"/>
        </w:rPr>
      </w:pPr>
      <w:r>
        <w:rPr>
          <w:rFonts w:hint="eastAsia" w:ascii="宋体" w:hAnsi="宋体"/>
          <w:sz w:val="24"/>
        </w:rPr>
        <w:t>电       话：</w:t>
      </w:r>
      <w:r>
        <w:rPr>
          <w:rFonts w:hint="eastAsia"/>
          <w:sz w:val="28"/>
          <w:szCs w:val="28"/>
          <w:highlight w:val="yellow"/>
        </w:rPr>
        <w:br w:type="page"/>
      </w:r>
    </w:p>
    <w:p w14:paraId="77797A48">
      <w:pPr>
        <w:spacing w:line="480" w:lineRule="auto"/>
        <w:jc w:val="left"/>
        <w:rPr>
          <w:rFonts w:hint="eastAsia" w:ascii="宋体" w:hAnsi="宋体" w:cs="宋体"/>
          <w:color w:val="000000"/>
          <w:sz w:val="24"/>
        </w:rPr>
      </w:pPr>
      <w:r>
        <w:rPr>
          <w:rFonts w:hint="eastAsia" w:ascii="宋体" w:hAnsi="宋体" w:cs="宋体"/>
          <w:color w:val="000000"/>
          <w:sz w:val="24"/>
        </w:rPr>
        <w:t>附件2</w:t>
      </w:r>
    </w:p>
    <w:p w14:paraId="57EC4483">
      <w:pPr>
        <w:spacing w:line="480" w:lineRule="auto"/>
        <w:ind w:firstLine="600"/>
        <w:jc w:val="center"/>
        <w:rPr>
          <w:rFonts w:hint="eastAsia" w:ascii="宋体" w:hAnsi="宋体" w:cs="宋体"/>
          <w:b/>
          <w:color w:val="000000"/>
          <w:sz w:val="24"/>
        </w:rPr>
      </w:pPr>
      <w:r>
        <w:rPr>
          <w:rFonts w:hint="eastAsia" w:ascii="宋体" w:hAnsi="宋体" w:cs="宋体"/>
          <w:b/>
          <w:color w:val="000000"/>
          <w:sz w:val="30"/>
          <w:szCs w:val="30"/>
        </w:rPr>
        <w:t>项目廉政责任书</w:t>
      </w:r>
    </w:p>
    <w:p w14:paraId="0BA41A99">
      <w:pPr>
        <w:spacing w:line="360" w:lineRule="exact"/>
        <w:ind w:firstLine="600"/>
        <w:jc w:val="center"/>
        <w:rPr>
          <w:rFonts w:hint="eastAsia" w:ascii="宋体" w:hAnsi="宋体" w:cs="宋体"/>
          <w:b/>
          <w:color w:val="000000"/>
          <w:sz w:val="24"/>
        </w:rPr>
      </w:pPr>
    </w:p>
    <w:p w14:paraId="0A21477F">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甲方：上海市第一妇婴保健院</w:t>
      </w:r>
    </w:p>
    <w:p w14:paraId="37987083">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乙方：</w:t>
      </w:r>
    </w:p>
    <w:p w14:paraId="105A2431">
      <w:pPr>
        <w:snapToGrid w:val="0"/>
        <w:spacing w:line="360" w:lineRule="auto"/>
        <w:rPr>
          <w:rFonts w:hint="eastAsia" w:ascii="宋体" w:hAnsi="宋体"/>
          <w:color w:val="000000"/>
          <w:sz w:val="24"/>
          <w:szCs w:val="24"/>
        </w:rPr>
      </w:pPr>
      <w:r>
        <w:rPr>
          <w:rFonts w:hint="eastAsia" w:ascii="宋体" w:hAnsi="宋体"/>
          <w:color w:val="000000"/>
          <w:sz w:val="24"/>
          <w:szCs w:val="24"/>
        </w:rPr>
        <w:t>为了在项目中保持廉洁自律的工作作风，防止各种不正当行为的发生，根据国家和上海市有关廉政建设的规定，特订立本协议如下：</w:t>
      </w:r>
    </w:p>
    <w:p w14:paraId="18CC3EA1">
      <w:pPr>
        <w:snapToGrid w:val="0"/>
        <w:spacing w:line="360" w:lineRule="auto"/>
        <w:rPr>
          <w:rFonts w:hint="eastAsia" w:ascii="宋体" w:hAns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一、甲乙双方应当自觉遵守国家和上海市有关廉政建设的各项规定。</w:t>
      </w:r>
    </w:p>
    <w:p w14:paraId="52BB287D">
      <w:pPr>
        <w:snapToGrid w:val="0"/>
        <w:spacing w:line="360" w:lineRule="auto"/>
        <w:rPr>
          <w:rFonts w:hint="eastAsia" w:ascii="宋体" w:hAns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二、甲方及其工作人员不得以任何形式向乙方索要和收受回扣等好处费。</w:t>
      </w:r>
    </w:p>
    <w:p w14:paraId="4827C6D4">
      <w:pPr>
        <w:snapToGrid w:val="0"/>
        <w:spacing w:line="360" w:lineRule="auto"/>
        <w:rPr>
          <w:rFonts w:hint="eastAsia" w:ascii="宋体" w:hAns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三、甲方工作人员应当保持与乙方的正常业务交往，不得接受乙方的礼金、有价证券和贵重物品，不得在乙方报销任何应由个人支付的费用。</w:t>
      </w:r>
    </w:p>
    <w:p w14:paraId="790DD393">
      <w:pPr>
        <w:snapToGrid w:val="0"/>
        <w:spacing w:line="360" w:lineRule="auto"/>
        <w:rPr>
          <w:rFonts w:hint="eastAsia" w:ascii="宋体" w:hAns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四、甲方工作人员不得参加可能对公正执行公务有影响的宴请和娱乐活动。</w:t>
      </w:r>
    </w:p>
    <w:p w14:paraId="39FD5386">
      <w:pPr>
        <w:snapToGrid w:val="0"/>
        <w:spacing w:line="360" w:lineRule="auto"/>
        <w:rPr>
          <w:rFonts w:hint="eastAsia" w:ascii="宋体" w:hAns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五、甲方工作人员不得要求或者接受乙方为其住房装修、婚丧嫁娶、家属和子女的工作安排以及出国等提供方便。</w:t>
      </w:r>
    </w:p>
    <w:p w14:paraId="3DCAFC96">
      <w:pPr>
        <w:snapToGrid w:val="0"/>
        <w:spacing w:line="360" w:lineRule="auto"/>
        <w:rPr>
          <w:rFonts w:hint="eastAsia" w:ascii="宋体" w:hAns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六、甲方工作人员不得向乙方介绍家属或者亲友从事有关的经济活动。</w:t>
      </w:r>
    </w:p>
    <w:p w14:paraId="1FAD4CC3">
      <w:pPr>
        <w:snapToGrid w:val="0"/>
        <w:spacing w:line="360" w:lineRule="auto"/>
        <w:rPr>
          <w:rFonts w:hint="eastAsia" w:ascii="宋体" w:hAns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七、乙方应当通过正常途径开展相对业务工作，不得为获取某些不正当利益而向甲方工作人员赠送礼金、有价证券和贵重物品等。</w:t>
      </w:r>
    </w:p>
    <w:p w14:paraId="2F0A03F9">
      <w:pPr>
        <w:snapToGrid w:val="0"/>
        <w:spacing w:line="360" w:lineRule="auto"/>
        <w:rPr>
          <w:rFonts w:hint="eastAsia" w:ascii="宋体" w:hAns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八、乙方不得为谋取私利擅自与甲方工作人员进行私下商谈或者达成默契。</w:t>
      </w:r>
    </w:p>
    <w:p w14:paraId="3C163414">
      <w:pPr>
        <w:snapToGrid w:val="0"/>
        <w:spacing w:line="360" w:lineRule="auto"/>
        <w:rPr>
          <w:rFonts w:hint="eastAsia" w:ascii="宋体" w:hAns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九、乙方不得以洽谈业务、签订经济合同为借口，邀请甲方工作人员外出旅游和进入营业性高档娱乐场所。</w:t>
      </w:r>
    </w:p>
    <w:p w14:paraId="67E35BB4">
      <w:pPr>
        <w:snapToGrid w:val="0"/>
        <w:spacing w:line="360" w:lineRule="auto"/>
        <w:rPr>
          <w:rFonts w:hint="eastAsia" w:ascii="宋体" w:hAns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十、乙方不得为甲方单位和个人购置或者提供通讯工具、交通工具、家电、高档办公用品等物品。</w:t>
      </w:r>
    </w:p>
    <w:p w14:paraId="28B8ABE8">
      <w:pPr>
        <w:snapToGrid w:val="0"/>
        <w:spacing w:line="360" w:lineRule="auto"/>
        <w:rPr>
          <w:rFonts w:hint="eastAsia" w:ascii="宋体" w:hAns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十一、乙方如发现甲方工作人员有违反上述协议者，应向甲方领导或者甲方上级单位举报。甲方不得找任何借口对乙方进行报复。甲方对举报属实和严格遵守廉洁协议的乙方，在同等条件下给予承接后续工程的优先邀请投标权。</w:t>
      </w:r>
    </w:p>
    <w:p w14:paraId="29F2FED2">
      <w:pPr>
        <w:snapToGrid w:val="0"/>
        <w:spacing w:line="360" w:lineRule="auto"/>
        <w:ind w:firstLine="480"/>
        <w:rPr>
          <w:rFonts w:hint="eastAsia" w:ascii="宋体" w:hAnsi="宋体"/>
          <w:color w:val="000000"/>
          <w:sz w:val="24"/>
          <w:szCs w:val="24"/>
        </w:rPr>
      </w:pPr>
      <w:r>
        <w:rPr>
          <w:rFonts w:hint="eastAsia" w:ascii="宋体" w:hAnsi="宋体"/>
          <w:color w:val="000000"/>
          <w:sz w:val="24"/>
          <w:szCs w:val="24"/>
        </w:rPr>
        <w:t>十二、甲方发现乙方有违反本协议或者采用不正当的手段行贿甲方工作人员，甲方根据具体情节和造成的后果追究乙方本合同总金额的1~5%的违约金。由此给甲方单位造成的损失均由乙方承担。</w:t>
      </w:r>
    </w:p>
    <w:p w14:paraId="0A70296C">
      <w:pPr>
        <w:snapToGrid w:val="0"/>
        <w:spacing w:line="360" w:lineRule="auto"/>
        <w:ind w:firstLine="480"/>
        <w:rPr>
          <w:rFonts w:hint="eastAsia" w:ascii="宋体" w:hAnsi="宋体"/>
          <w:color w:val="000000"/>
          <w:sz w:val="24"/>
          <w:szCs w:val="24"/>
        </w:rPr>
      </w:pPr>
      <w:r>
        <w:rPr>
          <w:rFonts w:hint="eastAsia" w:ascii="宋体" w:hAnsi="宋体"/>
          <w:color w:val="000000"/>
          <w:sz w:val="24"/>
          <w:szCs w:val="24"/>
        </w:rPr>
        <w:t>十三、本廉洁协议作为项目合同的附件，与项目合同具有同等法律效力。经协议双方签署后立即生效。</w:t>
      </w:r>
    </w:p>
    <w:p w14:paraId="0337365D">
      <w:pPr>
        <w:snapToGrid w:val="0"/>
        <w:spacing w:line="360" w:lineRule="auto"/>
        <w:ind w:firstLine="480" w:firstLineChars="200"/>
        <w:rPr>
          <w:rFonts w:hint="eastAsia" w:ascii="宋体" w:hAnsi="宋体"/>
          <w:color w:val="000000"/>
          <w:sz w:val="24"/>
          <w:szCs w:val="24"/>
        </w:rPr>
      </w:pPr>
    </w:p>
    <w:p w14:paraId="58D2358B">
      <w:pPr>
        <w:snapToGrid w:val="0"/>
        <w:spacing w:line="360" w:lineRule="auto"/>
        <w:ind w:firstLine="480" w:firstLineChars="200"/>
        <w:rPr>
          <w:rFonts w:hint="eastAsia" w:ascii="宋体" w:hAnsi="宋体"/>
          <w:color w:val="000000"/>
          <w:sz w:val="24"/>
          <w:szCs w:val="24"/>
        </w:rPr>
      </w:pPr>
    </w:p>
    <w:p w14:paraId="124D506F">
      <w:pPr>
        <w:snapToGrid w:val="0"/>
        <w:spacing w:line="360" w:lineRule="auto"/>
        <w:rPr>
          <w:rFonts w:hint="eastAsia" w:ascii="宋体" w:hAns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甲方：</w:t>
      </w:r>
      <w:r>
        <w:rPr>
          <w:rFonts w:ascii="宋体" w:hAnsi="宋体"/>
          <w:color w:val="000000"/>
          <w:sz w:val="24"/>
          <w:szCs w:val="24"/>
        </w:rPr>
        <w:t>(</w:t>
      </w:r>
      <w:r>
        <w:rPr>
          <w:rFonts w:hint="eastAsia" w:ascii="宋体" w:hAnsi="宋体"/>
          <w:color w:val="000000"/>
          <w:sz w:val="24"/>
          <w:szCs w:val="24"/>
        </w:rPr>
        <w:t>盖章</w:t>
      </w:r>
      <w:r>
        <w:rPr>
          <w:rFonts w:ascii="宋体" w:hAnsi="宋体"/>
          <w:color w:val="000000"/>
          <w:sz w:val="24"/>
          <w:szCs w:val="24"/>
        </w:rPr>
        <w:t xml:space="preserve">)                </w:t>
      </w:r>
      <w:r>
        <w:rPr>
          <w:rFonts w:hint="eastAsia" w:ascii="宋体" w:hAnsi="宋体"/>
          <w:color w:val="000000"/>
          <w:sz w:val="24"/>
          <w:szCs w:val="24"/>
        </w:rPr>
        <w:tab/>
      </w:r>
      <w:r>
        <w:rPr>
          <w:rFonts w:hint="eastAsia" w:ascii="宋体" w:hAnsi="宋体"/>
          <w:color w:val="000000"/>
          <w:sz w:val="24"/>
          <w:szCs w:val="24"/>
        </w:rPr>
        <w:tab/>
      </w:r>
      <w:r>
        <w:rPr>
          <w:rFonts w:hint="eastAsia" w:ascii="宋体" w:hAnsi="宋体"/>
          <w:color w:val="000000"/>
          <w:sz w:val="24"/>
          <w:szCs w:val="24"/>
        </w:rPr>
        <w:tab/>
      </w:r>
      <w:r>
        <w:rPr>
          <w:rFonts w:hint="eastAsia" w:ascii="宋体" w:hAnsi="宋体"/>
          <w:color w:val="000000"/>
          <w:sz w:val="24"/>
          <w:szCs w:val="24"/>
        </w:rPr>
        <w:t xml:space="preserve">           乙方：</w:t>
      </w:r>
      <w:r>
        <w:rPr>
          <w:rFonts w:ascii="宋体" w:hAnsi="宋体"/>
          <w:color w:val="000000"/>
          <w:sz w:val="24"/>
          <w:szCs w:val="24"/>
        </w:rPr>
        <w:t>(</w:t>
      </w:r>
      <w:r>
        <w:rPr>
          <w:rFonts w:hint="eastAsia" w:ascii="宋体" w:hAnsi="宋体"/>
          <w:color w:val="000000"/>
          <w:sz w:val="24"/>
          <w:szCs w:val="24"/>
        </w:rPr>
        <w:t>盖章</w:t>
      </w:r>
      <w:r>
        <w:rPr>
          <w:rFonts w:ascii="宋体" w:hAnsi="宋体"/>
          <w:color w:val="000000"/>
          <w:sz w:val="24"/>
          <w:szCs w:val="24"/>
        </w:rPr>
        <w:t>)</w:t>
      </w:r>
    </w:p>
    <w:p w14:paraId="74C9EBF2">
      <w:pPr>
        <w:snapToGrid w:val="0"/>
        <w:spacing w:line="360" w:lineRule="auto"/>
        <w:rPr>
          <w:rFonts w:hint="eastAsia" w:ascii="宋体" w:hAns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法定代表人：</w:t>
      </w:r>
      <w:r>
        <w:rPr>
          <w:rFonts w:ascii="宋体" w:hAnsi="宋体"/>
          <w:color w:val="000000"/>
          <w:sz w:val="24"/>
          <w:szCs w:val="24"/>
        </w:rPr>
        <w:t xml:space="preserve">                </w:t>
      </w:r>
      <w:r>
        <w:rPr>
          <w:rFonts w:hint="eastAsia" w:ascii="宋体" w:hAnsi="宋体"/>
          <w:color w:val="000000"/>
          <w:sz w:val="24"/>
          <w:szCs w:val="24"/>
        </w:rPr>
        <w:tab/>
      </w:r>
      <w:r>
        <w:rPr>
          <w:rFonts w:hint="eastAsia" w:ascii="宋体" w:hAnsi="宋体"/>
          <w:color w:val="000000"/>
          <w:sz w:val="24"/>
          <w:szCs w:val="24"/>
        </w:rPr>
        <w:tab/>
      </w:r>
      <w:r>
        <w:rPr>
          <w:rFonts w:hint="eastAsia" w:ascii="宋体" w:hAnsi="宋体"/>
          <w:color w:val="000000"/>
          <w:sz w:val="24"/>
          <w:szCs w:val="24"/>
        </w:rPr>
        <w:tab/>
      </w:r>
      <w:r>
        <w:rPr>
          <w:rFonts w:hint="eastAsia" w:ascii="宋体" w:hAnsi="宋体"/>
          <w:color w:val="000000"/>
          <w:sz w:val="24"/>
          <w:szCs w:val="24"/>
        </w:rPr>
        <w:t xml:space="preserve">           法定代表人：</w:t>
      </w:r>
    </w:p>
    <w:p w14:paraId="1F3A8E9A">
      <w:pPr>
        <w:snapToGrid w:val="0"/>
        <w:spacing w:line="360" w:lineRule="auto"/>
        <w:jc w:val="left"/>
        <w:rPr>
          <w:rFonts w:hint="eastAsia" w:ascii="宋体" w:hAnsi="宋体"/>
          <w:color w:val="000000"/>
          <w:sz w:val="24"/>
          <w:szCs w:val="24"/>
        </w:rPr>
      </w:pPr>
    </w:p>
    <w:p w14:paraId="7DADB61D">
      <w:pPr>
        <w:snapToGrid w:val="0"/>
        <w:spacing w:line="360" w:lineRule="auto"/>
        <w:jc w:val="left"/>
        <w:rPr>
          <w:rFonts w:hint="eastAsia" w:ascii="仿宋" w:hAnsi="仿宋" w:eastAsia="仿宋"/>
          <w:sz w:val="24"/>
          <w:szCs w:val="24"/>
        </w:rPr>
      </w:pPr>
      <w:r>
        <w:rPr>
          <w:rFonts w:hint="eastAsia" w:ascii="宋体" w:hAnsi="宋体"/>
          <w:color w:val="000000"/>
          <w:sz w:val="24"/>
          <w:szCs w:val="24"/>
        </w:rPr>
        <w:t xml:space="preserve">                                     签约日期：       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p w14:paraId="7C8E4328">
      <w:pPr>
        <w:rPr>
          <w:rFonts w:hint="eastAsia"/>
          <w:sz w:val="28"/>
          <w:szCs w:val="28"/>
          <w:highlight w:val="yellow"/>
        </w:rPr>
        <w:sectPr>
          <w:footerReference r:id="rId3" w:type="default"/>
          <w:pgSz w:w="11906" w:h="16838"/>
          <w:pgMar w:top="1440" w:right="1800" w:bottom="1440" w:left="1800" w:header="851" w:footer="992" w:gutter="0"/>
          <w:pgNumType w:fmt="decimal"/>
          <w:cols w:space="425" w:num="1"/>
          <w:docGrid w:type="lines" w:linePitch="312" w:charSpace="0"/>
        </w:sectPr>
      </w:pPr>
      <w:r>
        <w:rPr>
          <w:rFonts w:hint="eastAsia"/>
          <w:sz w:val="28"/>
          <w:szCs w:val="28"/>
          <w:highlight w:val="yellow"/>
        </w:rPr>
        <w:br w:type="page"/>
      </w:r>
    </w:p>
    <w:p w14:paraId="3A9AB262">
      <w:pPr>
        <w:pStyle w:val="2"/>
        <w:rPr>
          <w:b/>
          <w:bCs/>
        </w:rPr>
      </w:pPr>
      <w:r>
        <w:rPr>
          <w:rFonts w:hint="eastAsia" w:ascii="宋体" w:hAnsi="宋体" w:eastAsia="宋体" w:cs="宋体"/>
          <w:color w:val="000000"/>
          <w:kern w:val="0"/>
          <w:sz w:val="24"/>
          <w:lang w:bidi="ar"/>
        </w:rPr>
        <w:t>附件3：服务内容及成果清单</w:t>
      </w:r>
    </w:p>
    <w:tbl>
      <w:tblPr>
        <w:tblStyle w:val="6"/>
        <w:tblW w:w="88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4633"/>
        <w:gridCol w:w="2050"/>
        <w:gridCol w:w="1567"/>
      </w:tblGrid>
      <w:tr w14:paraId="2726B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636" w:type="dxa"/>
            <w:vAlign w:val="center"/>
          </w:tcPr>
          <w:p w14:paraId="6CA24D9B">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b/>
                <w:bCs/>
                <w:i w:val="0"/>
                <w:iCs w:val="0"/>
                <w:color w:val="000000"/>
                <w:kern w:val="0"/>
                <w:sz w:val="24"/>
                <w:szCs w:val="24"/>
                <w:u w:val="none"/>
                <w:lang w:val="en-US" w:eastAsia="zh-CN" w:bidi="ar"/>
              </w:rPr>
              <w:t>序号</w:t>
            </w:r>
          </w:p>
        </w:tc>
        <w:tc>
          <w:tcPr>
            <w:tcW w:w="4633" w:type="dxa"/>
            <w:vAlign w:val="center"/>
          </w:tcPr>
          <w:p w14:paraId="29B88AB3">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b/>
                <w:bCs/>
                <w:i w:val="0"/>
                <w:iCs w:val="0"/>
                <w:color w:val="000000"/>
                <w:kern w:val="0"/>
                <w:sz w:val="24"/>
                <w:szCs w:val="24"/>
                <w:u w:val="none"/>
                <w:lang w:val="en-US" w:eastAsia="zh-CN" w:bidi="ar"/>
              </w:rPr>
              <w:t>服务内容</w:t>
            </w:r>
          </w:p>
        </w:tc>
        <w:tc>
          <w:tcPr>
            <w:tcW w:w="2050" w:type="dxa"/>
            <w:vAlign w:val="center"/>
          </w:tcPr>
          <w:p w14:paraId="134DD94D">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b/>
                <w:bCs/>
                <w:i w:val="0"/>
                <w:iCs w:val="0"/>
                <w:color w:val="000000"/>
                <w:kern w:val="0"/>
                <w:sz w:val="24"/>
                <w:szCs w:val="24"/>
                <w:u w:val="none"/>
                <w:lang w:val="en-US" w:eastAsia="zh-CN" w:bidi="ar"/>
              </w:rPr>
              <w:t>成果文件</w:t>
            </w:r>
          </w:p>
        </w:tc>
        <w:tc>
          <w:tcPr>
            <w:tcW w:w="1567" w:type="dxa"/>
            <w:vAlign w:val="center"/>
          </w:tcPr>
          <w:p w14:paraId="0839669A">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b/>
                <w:bCs/>
                <w:i w:val="0"/>
                <w:iCs w:val="0"/>
                <w:color w:val="000000"/>
                <w:kern w:val="0"/>
                <w:sz w:val="24"/>
                <w:szCs w:val="24"/>
                <w:u w:val="none"/>
                <w:lang w:val="en-US" w:eastAsia="zh-CN" w:bidi="ar"/>
              </w:rPr>
              <w:t>交付要求</w:t>
            </w:r>
          </w:p>
        </w:tc>
      </w:tr>
      <w:tr w14:paraId="3DA7C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6" w:type="dxa"/>
            <w:vAlign w:val="center"/>
          </w:tcPr>
          <w:p w14:paraId="2BDDC197">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4633" w:type="dxa"/>
            <w:vAlign w:val="center"/>
          </w:tcPr>
          <w:p w14:paraId="0F777A24">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现场踏勘与资料收集：排查污水处理站、医疗废物暂存间、危险化学品及试剂储存点、检验科、雨污管网、应急设施等风险点位，收集环保手续、排污许可、监测报告、固废处置合同等资料，梳理各类突发环境风险</w:t>
            </w:r>
          </w:p>
        </w:tc>
        <w:tc>
          <w:tcPr>
            <w:tcW w:w="2050" w:type="dxa"/>
            <w:vAlign w:val="center"/>
          </w:tcPr>
          <w:p w14:paraId="268AF572">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风险点位排查记录及资料清单</w:t>
            </w:r>
          </w:p>
        </w:tc>
        <w:tc>
          <w:tcPr>
            <w:tcW w:w="1567" w:type="dxa"/>
            <w:vAlign w:val="center"/>
          </w:tcPr>
          <w:p w14:paraId="10135684">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合同签订后10个工作日内完成</w:t>
            </w:r>
          </w:p>
        </w:tc>
      </w:tr>
      <w:tr w14:paraId="0B96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6" w:type="dxa"/>
            <w:vAlign w:val="center"/>
          </w:tcPr>
          <w:p w14:paraId="44061755">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4633" w:type="dxa"/>
            <w:vAlign w:val="center"/>
          </w:tcPr>
          <w:p w14:paraId="1EC83D62">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突发环境事件风险评估：依据《企业突发环境事件风险分级方法》（HJ 941-2018）开展风险识别、风险源分级、风险受体及事故情景分析，判定环境风险等级</w:t>
            </w:r>
          </w:p>
        </w:tc>
        <w:tc>
          <w:tcPr>
            <w:tcW w:w="2050" w:type="dxa"/>
            <w:vAlign w:val="center"/>
          </w:tcPr>
          <w:p w14:paraId="56887969">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《突发环境事件风险评估报告》</w:t>
            </w:r>
          </w:p>
        </w:tc>
        <w:tc>
          <w:tcPr>
            <w:tcW w:w="1567" w:type="dxa"/>
            <w:vAlign w:val="center"/>
          </w:tcPr>
          <w:p w14:paraId="760E99D9">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通过专家评审</w:t>
            </w:r>
          </w:p>
        </w:tc>
      </w:tr>
      <w:tr w14:paraId="11435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6" w:type="dxa"/>
            <w:vAlign w:val="center"/>
          </w:tcPr>
          <w:p w14:paraId="2026445B">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3</w:t>
            </w:r>
          </w:p>
        </w:tc>
        <w:tc>
          <w:tcPr>
            <w:tcW w:w="4633" w:type="dxa"/>
            <w:vAlign w:val="center"/>
          </w:tcPr>
          <w:p w14:paraId="79D9CAC1">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环境应急资源调查：调查医院环境应急物资、装备、人员等配置情况</w:t>
            </w:r>
          </w:p>
        </w:tc>
        <w:tc>
          <w:tcPr>
            <w:tcW w:w="2050" w:type="dxa"/>
            <w:vAlign w:val="center"/>
          </w:tcPr>
          <w:p w14:paraId="6FE6F473">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《突发环境事件环境应急资源调查报告》</w:t>
            </w:r>
          </w:p>
        </w:tc>
        <w:tc>
          <w:tcPr>
            <w:tcW w:w="1567" w:type="dxa"/>
            <w:vAlign w:val="center"/>
          </w:tcPr>
          <w:p w14:paraId="6C9E6D3F">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通过专家评审</w:t>
            </w:r>
          </w:p>
        </w:tc>
      </w:tr>
      <w:tr w14:paraId="5DE39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6" w:type="dxa"/>
            <w:vAlign w:val="center"/>
          </w:tcPr>
          <w:p w14:paraId="0CFF7B85">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4</w:t>
            </w:r>
          </w:p>
        </w:tc>
        <w:tc>
          <w:tcPr>
            <w:tcW w:w="4633" w:type="dxa"/>
            <w:vAlign w:val="center"/>
          </w:tcPr>
          <w:p w14:paraId="1F6758AB">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突发环境事件应急预案编制（含综合预案、专项预案及现场处置方案）</w:t>
            </w:r>
          </w:p>
        </w:tc>
        <w:tc>
          <w:tcPr>
            <w:tcW w:w="2050" w:type="dxa"/>
            <w:vAlign w:val="center"/>
          </w:tcPr>
          <w:p w14:paraId="66371A3F">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《突发环境事件应急预案》</w:t>
            </w:r>
          </w:p>
        </w:tc>
        <w:tc>
          <w:tcPr>
            <w:tcW w:w="1567" w:type="dxa"/>
            <w:vAlign w:val="center"/>
          </w:tcPr>
          <w:p w14:paraId="30C523A0">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通过专家评审</w:t>
            </w:r>
          </w:p>
        </w:tc>
      </w:tr>
      <w:tr w14:paraId="01A1F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6" w:type="dxa"/>
            <w:vAlign w:val="center"/>
          </w:tcPr>
          <w:p w14:paraId="2FD70337">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5</w:t>
            </w:r>
          </w:p>
        </w:tc>
        <w:tc>
          <w:tcPr>
            <w:tcW w:w="4633" w:type="dxa"/>
            <w:vAlign w:val="center"/>
          </w:tcPr>
          <w:p w14:paraId="4C951809">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组织专家评审，根据专家及生态环境管理部门意见修改完善</w:t>
            </w:r>
          </w:p>
        </w:tc>
        <w:tc>
          <w:tcPr>
            <w:tcW w:w="2050" w:type="dxa"/>
            <w:vAlign w:val="center"/>
          </w:tcPr>
          <w:p w14:paraId="2463146D">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评审意见、修改说明及定稿文件</w:t>
            </w:r>
          </w:p>
        </w:tc>
        <w:tc>
          <w:tcPr>
            <w:tcW w:w="1567" w:type="dxa"/>
            <w:vAlign w:val="center"/>
          </w:tcPr>
          <w:p w14:paraId="29A4F8A4">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承担评审全部费用</w:t>
            </w:r>
          </w:p>
        </w:tc>
      </w:tr>
      <w:tr w14:paraId="66DDB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6" w:type="dxa"/>
            <w:vAlign w:val="center"/>
          </w:tcPr>
          <w:p w14:paraId="47B474ED">
            <w:pPr>
              <w:keepNext w:val="0"/>
              <w:keepLines w:val="0"/>
              <w:widowControl/>
              <w:suppressLineNumbers w:val="0"/>
              <w:spacing w:line="240" w:lineRule="auto"/>
              <w:jc w:val="center"/>
              <w:textAlignment w:val="center"/>
              <w:rPr>
                <w:rFonts w:hint="eastAsia" w:ascii="宋体" w:hAnsi="宋体" w:eastAsia="宋体" w:cs="宋体"/>
                <w:strike w:val="0"/>
                <w:dstrike w:val="0"/>
                <w:color w:val="auto"/>
                <w:sz w:val="24"/>
                <w:szCs w:val="24"/>
                <w:vertAlign w:val="baseline"/>
                <w:lang w:val="en-US" w:eastAsia="zh-CN"/>
              </w:rPr>
            </w:pPr>
            <w:r>
              <w:rPr>
                <w:rFonts w:hint="eastAsia" w:ascii="宋体" w:hAnsi="宋体" w:eastAsia="宋体" w:cs="宋体"/>
                <w:i w:val="0"/>
                <w:iCs w:val="0"/>
                <w:strike w:val="0"/>
                <w:dstrike w:val="0"/>
                <w:color w:val="auto"/>
                <w:kern w:val="0"/>
                <w:sz w:val="24"/>
                <w:szCs w:val="24"/>
                <w:u w:val="none"/>
                <w:lang w:val="en-US" w:eastAsia="zh-CN" w:bidi="ar"/>
              </w:rPr>
              <w:t>6</w:t>
            </w:r>
          </w:p>
        </w:tc>
        <w:tc>
          <w:tcPr>
            <w:tcW w:w="4633" w:type="dxa"/>
            <w:vAlign w:val="center"/>
          </w:tcPr>
          <w:p w14:paraId="68BC0FEA">
            <w:pPr>
              <w:keepNext w:val="0"/>
              <w:keepLines w:val="0"/>
              <w:widowControl/>
              <w:suppressLineNumbers w:val="0"/>
              <w:spacing w:line="240" w:lineRule="auto"/>
              <w:jc w:val="center"/>
              <w:textAlignment w:val="center"/>
              <w:rPr>
                <w:rFonts w:hint="eastAsia" w:ascii="宋体" w:hAnsi="宋体" w:eastAsia="宋体" w:cs="宋体"/>
                <w:strike w:val="0"/>
                <w:dstrike w:val="0"/>
                <w:color w:val="auto"/>
                <w:sz w:val="24"/>
                <w:szCs w:val="24"/>
                <w:vertAlign w:val="baseline"/>
              </w:rPr>
            </w:pPr>
            <w:r>
              <w:rPr>
                <w:rFonts w:hint="eastAsia" w:ascii="宋体" w:hAnsi="宋体" w:eastAsia="宋体" w:cs="宋体"/>
                <w:i w:val="0"/>
                <w:iCs w:val="0"/>
                <w:strike w:val="0"/>
                <w:dstrike w:val="0"/>
                <w:color w:val="auto"/>
                <w:kern w:val="0"/>
                <w:sz w:val="24"/>
                <w:szCs w:val="24"/>
                <w:u w:val="none"/>
                <w:lang w:val="en-US" w:eastAsia="zh-CN" w:bidi="ar"/>
              </w:rPr>
              <w:t>向生态环境主管部门办理突发环境事件应急预案备案</w:t>
            </w:r>
          </w:p>
        </w:tc>
        <w:tc>
          <w:tcPr>
            <w:tcW w:w="2050" w:type="dxa"/>
            <w:vAlign w:val="center"/>
          </w:tcPr>
          <w:p w14:paraId="44DB6CCB">
            <w:pPr>
              <w:keepNext w:val="0"/>
              <w:keepLines w:val="0"/>
              <w:widowControl/>
              <w:suppressLineNumbers w:val="0"/>
              <w:spacing w:line="240" w:lineRule="auto"/>
              <w:jc w:val="center"/>
              <w:textAlignment w:val="center"/>
              <w:rPr>
                <w:rFonts w:hint="eastAsia" w:ascii="宋体" w:hAnsi="宋体" w:eastAsia="宋体" w:cs="宋体"/>
                <w:strike w:val="0"/>
                <w:dstrike w:val="0"/>
                <w:color w:val="auto"/>
                <w:sz w:val="24"/>
                <w:szCs w:val="24"/>
                <w:vertAlign w:val="baseline"/>
              </w:rPr>
            </w:pPr>
            <w:r>
              <w:rPr>
                <w:rFonts w:hint="eastAsia" w:ascii="宋体" w:hAnsi="宋体" w:eastAsia="宋体" w:cs="宋体"/>
                <w:i w:val="0"/>
                <w:iCs w:val="0"/>
                <w:strike w:val="0"/>
                <w:dstrike w:val="0"/>
                <w:color w:val="auto"/>
                <w:kern w:val="0"/>
                <w:sz w:val="24"/>
                <w:szCs w:val="24"/>
                <w:highlight w:val="none"/>
                <w:u w:val="none"/>
                <w:lang w:val="en-US" w:eastAsia="zh-CN" w:bidi="ar"/>
              </w:rPr>
              <w:t>备案回执</w:t>
            </w:r>
          </w:p>
        </w:tc>
        <w:tc>
          <w:tcPr>
            <w:tcW w:w="1567" w:type="dxa"/>
            <w:vAlign w:val="center"/>
          </w:tcPr>
          <w:p w14:paraId="180D2117">
            <w:pPr>
              <w:keepNext w:val="0"/>
              <w:keepLines w:val="0"/>
              <w:widowControl/>
              <w:suppressLineNumbers w:val="0"/>
              <w:spacing w:line="240" w:lineRule="auto"/>
              <w:jc w:val="center"/>
              <w:textAlignment w:val="center"/>
              <w:rPr>
                <w:rFonts w:hint="eastAsia" w:ascii="宋体" w:hAnsi="宋体" w:eastAsia="宋体" w:cs="宋体"/>
                <w:strike w:val="0"/>
                <w:dstrike w:val="0"/>
                <w:color w:val="auto"/>
                <w:sz w:val="24"/>
                <w:szCs w:val="24"/>
                <w:vertAlign w:val="baseline"/>
              </w:rPr>
            </w:pPr>
            <w:r>
              <w:rPr>
                <w:rFonts w:hint="eastAsia" w:ascii="宋体" w:hAnsi="宋体" w:eastAsia="宋体" w:cs="宋体"/>
                <w:i w:val="0"/>
                <w:iCs w:val="0"/>
                <w:strike w:val="0"/>
                <w:dstrike w:val="0"/>
                <w:color w:val="auto"/>
                <w:kern w:val="0"/>
                <w:sz w:val="24"/>
                <w:szCs w:val="24"/>
                <w:u w:val="none"/>
                <w:lang w:val="en-US" w:eastAsia="zh-CN" w:bidi="ar"/>
              </w:rPr>
              <w:t>合同签订后30个工作日内完成</w:t>
            </w:r>
          </w:p>
        </w:tc>
      </w:tr>
      <w:tr w14:paraId="264DB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6" w:type="dxa"/>
            <w:vAlign w:val="center"/>
          </w:tcPr>
          <w:p w14:paraId="0F55C787">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7</w:t>
            </w:r>
          </w:p>
        </w:tc>
        <w:tc>
          <w:tcPr>
            <w:tcW w:w="4633" w:type="dxa"/>
            <w:vAlign w:val="center"/>
          </w:tcPr>
          <w:p w14:paraId="1B7D2BDC">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全套成果交付及后续技术咨询服务</w:t>
            </w:r>
          </w:p>
        </w:tc>
        <w:tc>
          <w:tcPr>
            <w:tcW w:w="2050" w:type="dxa"/>
            <w:vAlign w:val="center"/>
          </w:tcPr>
          <w:p w14:paraId="41BD698F">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纸质版、电子版全套成果文件</w:t>
            </w:r>
          </w:p>
        </w:tc>
        <w:tc>
          <w:tcPr>
            <w:tcW w:w="1567" w:type="dxa"/>
            <w:vAlign w:val="center"/>
          </w:tcPr>
          <w:p w14:paraId="294FEC4D">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备案完成后提供不少于12个月技术咨询服务</w:t>
            </w:r>
          </w:p>
        </w:tc>
      </w:tr>
    </w:tbl>
    <w:p w14:paraId="425DC899">
      <w:pPr>
        <w:spacing w:line="360" w:lineRule="auto"/>
        <w:rPr>
          <w:sz w:val="24"/>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14E3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0AC361">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0AC361">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hmMjJiNWQ3OWE0Y2IwYWIxMzRhM2ZlMWE4Mjk2MTQifQ=="/>
  </w:docVars>
  <w:rsids>
    <w:rsidRoot w:val="008802FA"/>
    <w:rsid w:val="000331D3"/>
    <w:rsid w:val="004B0978"/>
    <w:rsid w:val="008802FA"/>
    <w:rsid w:val="00D64841"/>
    <w:rsid w:val="028329F4"/>
    <w:rsid w:val="039C1688"/>
    <w:rsid w:val="0476465F"/>
    <w:rsid w:val="07A70F85"/>
    <w:rsid w:val="0B100BEF"/>
    <w:rsid w:val="0C697C09"/>
    <w:rsid w:val="105B24BD"/>
    <w:rsid w:val="12F459E8"/>
    <w:rsid w:val="162163A6"/>
    <w:rsid w:val="167364D6"/>
    <w:rsid w:val="1BDD2D6F"/>
    <w:rsid w:val="1C204828"/>
    <w:rsid w:val="1CC651D8"/>
    <w:rsid w:val="1D7E1239"/>
    <w:rsid w:val="1F9226A6"/>
    <w:rsid w:val="201B0952"/>
    <w:rsid w:val="21997739"/>
    <w:rsid w:val="21A71E8E"/>
    <w:rsid w:val="2358717F"/>
    <w:rsid w:val="24BA63DB"/>
    <w:rsid w:val="26594D3F"/>
    <w:rsid w:val="29231FDE"/>
    <w:rsid w:val="2967011C"/>
    <w:rsid w:val="2A2B739C"/>
    <w:rsid w:val="2E1D349F"/>
    <w:rsid w:val="2ED00512"/>
    <w:rsid w:val="32827A03"/>
    <w:rsid w:val="33D46F4D"/>
    <w:rsid w:val="34C92F62"/>
    <w:rsid w:val="37F25055"/>
    <w:rsid w:val="38A547BD"/>
    <w:rsid w:val="39150815"/>
    <w:rsid w:val="39CD7B28"/>
    <w:rsid w:val="3B6E43A4"/>
    <w:rsid w:val="3C6B7ACC"/>
    <w:rsid w:val="3D6C7AD9"/>
    <w:rsid w:val="3DFC3E6B"/>
    <w:rsid w:val="47A345BE"/>
    <w:rsid w:val="48997762"/>
    <w:rsid w:val="48C42A3E"/>
    <w:rsid w:val="4ADA20A4"/>
    <w:rsid w:val="4B83098E"/>
    <w:rsid w:val="4CC56D84"/>
    <w:rsid w:val="52F20DEF"/>
    <w:rsid w:val="55483D9D"/>
    <w:rsid w:val="5BC326E1"/>
    <w:rsid w:val="5BF907F8"/>
    <w:rsid w:val="5CFA4828"/>
    <w:rsid w:val="5D375F70"/>
    <w:rsid w:val="5EB153BA"/>
    <w:rsid w:val="5EC40F6F"/>
    <w:rsid w:val="61CA4ADF"/>
    <w:rsid w:val="62D51806"/>
    <w:rsid w:val="63D9004B"/>
    <w:rsid w:val="656D2F29"/>
    <w:rsid w:val="670D6B70"/>
    <w:rsid w:val="68AF0BB9"/>
    <w:rsid w:val="691F49B0"/>
    <w:rsid w:val="6C5630FD"/>
    <w:rsid w:val="6C82701B"/>
    <w:rsid w:val="6CB41DEC"/>
    <w:rsid w:val="6DAC56CB"/>
    <w:rsid w:val="6EDD383A"/>
    <w:rsid w:val="71D60F68"/>
    <w:rsid w:val="728B0374"/>
    <w:rsid w:val="731955B0"/>
    <w:rsid w:val="784B74E2"/>
    <w:rsid w:val="795F7A95"/>
    <w:rsid w:val="7B4E60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styleId="9">
    <w:name w:val="List Paragraph"/>
    <w:basedOn w:val="1"/>
    <w:unhideWhenUsed/>
    <w:qFormat/>
    <w:uiPriority w:val="99"/>
    <w:pPr>
      <w:ind w:firstLine="420" w:firstLineChars="200"/>
    </w:pPr>
  </w:style>
  <w:style w:type="character" w:customStyle="1" w:styleId="10">
    <w:name w:val="页眉 字符"/>
    <w:basedOn w:val="7"/>
    <w:link w:val="4"/>
    <w:qFormat/>
    <w:uiPriority w:val="0"/>
    <w:rPr>
      <w:rFonts w:asciiTheme="minorHAnsi" w:hAnsiTheme="minorHAnsi" w:eastAsiaTheme="minorEastAsia" w:cstheme="minorBidi"/>
      <w:kern w:val="2"/>
      <w:sz w:val="18"/>
      <w:szCs w:val="18"/>
    </w:rPr>
  </w:style>
  <w:style w:type="character" w:customStyle="1" w:styleId="11">
    <w:name w:val="页脚 字符"/>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535</Words>
  <Characters>550</Characters>
  <Lines>41</Lines>
  <Paragraphs>11</Paragraphs>
  <TotalTime>30</TotalTime>
  <ScaleCrop>false</ScaleCrop>
  <LinksUpToDate>false</LinksUpToDate>
  <CharactersWithSpaces>551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2024-04-12T06:24:00Z</dcterms:created>
  <dc:creator>A</dc:creator>
  <cp:lastModifiedBy>王佳仪</cp:lastModifiedBy>
  <dcterms:modified xsi:type="dcterms:W3CDTF">2026-11-03T08:29:18Z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36003E84F4104FD8A88C6A1282D653A2_12</vt:lpwstr>
  </property>
  <property fmtid="{D5CDD505-2E9C-101B-9397-08002B2CF9AE}" pid="4" name="KSOTemplateDocerSaveRecord">
    <vt:lpwstr>eyJoZGlkIjoiZDg5YzBmMGNmYWQ4NzIxYWNiNjYzMGM4NmZiYTY0ZjIiLCJ1c2VySWQiOiI1NDQyNDY5MjEifQ==</vt:lpwstr>
  </property>
</Properties>
</file>