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CBF39">
      <w:pPr>
        <w:spacing w:after="60" w:line="360" w:lineRule="auto"/>
        <w:jc w:val="center"/>
      </w:pPr>
      <w:r>
        <w:rPr>
          <w:rFonts w:ascii="Times New Roman" w:hAnsi="Times New Roman" w:eastAsia="宋体" w:cs="Times New Roman"/>
          <w:b/>
          <w:bCs/>
          <w:color w:val="333333"/>
          <w:sz w:val="36"/>
          <w:szCs w:val="36"/>
        </w:rPr>
        <w:t>上海市第一妇婴保健院人防维保服务项目</w:t>
      </w:r>
      <w:r>
        <w:rPr>
          <w:rFonts w:hint="eastAsia" w:cs="Times New Roman"/>
          <w:b/>
          <w:bCs/>
          <w:color w:val="333333"/>
          <w:sz w:val="36"/>
          <w:szCs w:val="36"/>
          <w:lang w:val="en-US" w:eastAsia="zh-CN"/>
        </w:rPr>
        <w:t>需求文件</w:t>
      </w:r>
    </w:p>
    <w:p w14:paraId="4CE276D4">
      <w:pPr>
        <w:spacing w:before="120" w:line="20" w:lineRule="exact"/>
      </w:pPr>
    </w:p>
    <w:p w14:paraId="7C7EED38">
      <w:pPr>
        <w:pStyle w:val="19"/>
        <w:keepNext w:val="0"/>
        <w:keepLines w:val="0"/>
        <w:pageBreakBefore w:val="0"/>
        <w:widowControl w:val="0"/>
        <w:kinsoku/>
        <w:wordWrap/>
        <w:overflowPunct/>
        <w:topLinePunct w:val="0"/>
        <w:bidi w:val="0"/>
        <w:spacing w:line="360" w:lineRule="auto"/>
        <w:textAlignment w:val="auto"/>
        <w:rPr>
          <w:rFonts w:hint="default" w:ascii="宋体" w:hAnsi="宋体" w:eastAsia="宋体" w:cs="宋体"/>
          <w:b/>
          <w:bCs/>
          <w:sz w:val="28"/>
          <w:szCs w:val="28"/>
          <w:lang w:val="en-US" w:eastAsia="zh-CN"/>
        </w:rPr>
      </w:pPr>
      <w:r>
        <w:rPr>
          <w:rFonts w:hint="eastAsia" w:hAnsi="宋体" w:cs="宋体"/>
          <w:b/>
          <w:bCs/>
          <w:sz w:val="28"/>
          <w:szCs w:val="28"/>
          <w:lang w:val="en-US" w:eastAsia="zh-CN"/>
        </w:rPr>
        <w:t>一、简要内容</w:t>
      </w:r>
    </w:p>
    <w:p w14:paraId="45910F87">
      <w:pPr>
        <w:pStyle w:val="19"/>
        <w:keepNext w:val="0"/>
        <w:keepLines w:val="0"/>
        <w:pageBreakBefore w:val="0"/>
        <w:widowControl w:val="0"/>
        <w:kinsoku/>
        <w:wordWrap/>
        <w:overflowPunct/>
        <w:topLinePunct w:val="0"/>
        <w:bidi w:val="0"/>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（一）服务范围</w:t>
      </w:r>
    </w:p>
    <w:p w14:paraId="0313C0E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高科西路2699号院区：其中一期人防车库面积为4527平方米，二期人防车库面积为4345平方米，合计：</w:t>
      </w:r>
      <w:r>
        <w:rPr>
          <w:rFonts w:hint="eastAsia" w:hAnsi="宋体" w:cs="宋体"/>
          <w:sz w:val="28"/>
          <w:szCs w:val="28"/>
          <w:lang w:val="en-US" w:eastAsia="zh-CN"/>
        </w:rPr>
        <w:t>88</w:t>
      </w:r>
      <w:r>
        <w:rPr>
          <w:rFonts w:hint="eastAsia" w:ascii="宋体" w:hAnsi="宋体" w:eastAsia="宋体" w:cs="宋体"/>
          <w:sz w:val="28"/>
          <w:szCs w:val="28"/>
          <w:lang w:val="en-US" w:eastAsia="zh-CN"/>
        </w:rPr>
        <w:t>72平方米。</w:t>
      </w:r>
      <w:bookmarkStart w:id="0" w:name="_GoBack"/>
      <w:bookmarkEnd w:id="0"/>
    </w:p>
    <w:p w14:paraId="4EE1D60C">
      <w:pPr>
        <w:pStyle w:val="19"/>
        <w:keepNext w:val="0"/>
        <w:keepLines w:val="0"/>
        <w:pageBreakBefore w:val="0"/>
        <w:widowControl w:val="0"/>
        <w:kinsoku/>
        <w:wordWrap/>
        <w:overflowPunct/>
        <w:topLinePunct w:val="0"/>
        <w:bidi w:val="0"/>
        <w:spacing w:line="360" w:lineRule="auto"/>
        <w:ind w:firstLine="562" w:firstLineChars="20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（二）本项目服务期：</w:t>
      </w:r>
      <w:r>
        <w:rPr>
          <w:rFonts w:hint="eastAsia" w:ascii="宋体" w:hAnsi="宋体" w:eastAsia="宋体" w:cs="宋体"/>
          <w:sz w:val="28"/>
          <w:szCs w:val="28"/>
          <w:lang w:val="en-US" w:eastAsia="zh-CN"/>
        </w:rPr>
        <w:t>2027年1月1日至2027年12月31日。</w:t>
      </w:r>
    </w:p>
    <w:p w14:paraId="459B6B03">
      <w:pPr>
        <w:pStyle w:val="19"/>
        <w:keepNext w:val="0"/>
        <w:keepLines w:val="0"/>
        <w:pageBreakBefore w:val="0"/>
        <w:widowControl w:val="0"/>
        <w:kinsoku/>
        <w:wordWrap/>
        <w:overflowPunct/>
        <w:topLinePunct w:val="0"/>
        <w:bidi w:val="0"/>
        <w:spacing w:line="360" w:lineRule="auto"/>
        <w:ind w:firstLine="562" w:firstLineChars="20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（三）项目限价：</w:t>
      </w:r>
      <w:r>
        <w:rPr>
          <w:rFonts w:hint="eastAsia" w:ascii="宋体" w:hAnsi="宋体" w:eastAsia="宋体" w:cs="宋体"/>
          <w:sz w:val="28"/>
          <w:szCs w:val="28"/>
          <w:lang w:val="en-US" w:eastAsia="zh-CN"/>
        </w:rPr>
        <w:t>25万元</w:t>
      </w:r>
    </w:p>
    <w:p w14:paraId="13E73B10">
      <w:pPr>
        <w:pStyle w:val="19"/>
        <w:keepNext w:val="0"/>
        <w:keepLines w:val="0"/>
        <w:pageBreakBefore w:val="0"/>
        <w:widowControl w:val="0"/>
        <w:kinsoku/>
        <w:wordWrap/>
        <w:overflowPunct/>
        <w:topLinePunct w:val="0"/>
        <w:bidi w:val="0"/>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（四）人防车库维保服务内容</w:t>
      </w:r>
    </w:p>
    <w:p w14:paraId="3089276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1、应每年检查防倒塌棚架、结构局部损坏如维护构件、顶板、梁、柱、基础等出现结构裂缝、局部损伤等情况影响使用时，应及时维修加固。</w:t>
      </w:r>
    </w:p>
    <w:p w14:paraId="3597884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2、各种外露孔口每月应至少检查一次，松动缺损部件应及时修理或更换；孔口周边的积土，杂物应及时清理，以防堵塞。</w:t>
      </w:r>
    </w:p>
    <w:p w14:paraId="7B642F4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3、平时需要封堵的孔口，每年至少检查一次，一旦破坏应按照原封堵方式重新封堵。</w:t>
      </w:r>
    </w:p>
    <w:p w14:paraId="641D3CD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4、对民防工程结构每年至少进行 1 次全面检查，当产生的裂缝危及结构安全或影响使用时，应及时研究，采取必要的安全措施。</w:t>
      </w:r>
    </w:p>
    <w:p w14:paraId="737E434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5、密闭与防水堵漏：</w:t>
      </w:r>
    </w:p>
    <w:p w14:paraId="4F93E8A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5-1、与民防工程无关的管道不得穿过民防维护结构；进入民防工程的管道及其穿过的民防维护结构，均应采取防护密闭措施，并按照民防工程设计规范要求落实。</w:t>
      </w:r>
    </w:p>
    <w:p w14:paraId="47D7D23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5-2、在有防护密闭要求的门框墙、临空墙、隔墙上不得任意凿开墙体。若须改造，必须进行施工图设计，按规定审图并同意后施工，并做好密闭处理（费用另算）。</w:t>
      </w:r>
    </w:p>
    <w:p w14:paraId="7725812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5-3、严禁敲打密闭段的各种预埋穿墙管，每年检查 1 次密闭情况。若发现穿墙周围预墙面有裂缝、管孔的封堵堵头松动或掉落，应及时进行处理，以保持密闭性可靠。</w:t>
      </w:r>
    </w:p>
    <w:p w14:paraId="5C72D93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5-4、注意检查密闭隔墙上的门、窗框与墙面接触部位的密闭情况，发现问题及时处理。</w:t>
      </w:r>
    </w:p>
    <w:p w14:paraId="6929986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5-5、民防工程穿墙孔的维护管理应符合下列规定：</w:t>
      </w:r>
    </w:p>
    <w:p w14:paraId="5949512A">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（1）应经常检查外穿墙管孔，防止穿墙管与墙体接触部位松动、开裂，导致工程渗漏。因穿墙管损坏引起民防工程漏水，必须及时修理或更换。</w:t>
      </w:r>
    </w:p>
    <w:p w14:paraId="24A1DA3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（2）更换穿墙管时，应在穿墙套管上焊接翼环，穿墙管与墙体间可用膨胀水泥砂浆或细石混凝土、各类油膏或胶泥、柔性防水材料等填塞密实，以防渗漏。</w:t>
      </w:r>
    </w:p>
    <w:p w14:paraId="3B4AFE9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（3）废弃的穿墙管应及时封闭孔洞，做好防水密闭处理。</w:t>
      </w:r>
    </w:p>
    <w:p w14:paraId="3D596BB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6、建筑装修：</w:t>
      </w:r>
    </w:p>
    <w:p w14:paraId="0029775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6-1、民防工程内部装修应符合国家标准《建筑内部装修设计防火规范》GB 5022 和《建筑设计防火》GB 50016 的有关规定。</w:t>
      </w:r>
    </w:p>
    <w:p w14:paraId="0170FC8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6-2、民防工程的顶板不应抹灰，若设置吊顶，应采用轻质、坚固的龙骨，吊顶饰面材料应方便拆卸。</w:t>
      </w:r>
    </w:p>
    <w:p w14:paraId="63888CF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6-3、有洗消要求的房间和通道的建筑装修应保持表面平整、光洁、棱角圆滑，便于冲洗。</w:t>
      </w:r>
    </w:p>
    <w:p w14:paraId="17B2911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6-4、民防工程内部装修维修施工不得破坏承重结构、有防护密闭要求的墙体，严禁在顶板、底板、围护墙上开洞、钻孔。</w:t>
      </w:r>
    </w:p>
    <w:p w14:paraId="792C09A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6-5、民防工程内部装修材料应满足防火和环保要求，不得使用易燃和燃烧后会产生有毒有害气体的材料。</w:t>
      </w:r>
    </w:p>
    <w:p w14:paraId="6062846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7、孔口防护设施</w:t>
      </w:r>
    </w:p>
    <w:p w14:paraId="45B1C72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7-1、防护门、防护密闭门、密闭门</w:t>
      </w:r>
    </w:p>
    <w:p w14:paraId="7F9C3D1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7-1-1、防护门由门扇、门框、铰页、闭锁等组成，防护密闭门、密闭门由门扇、门框、铰页、闭锁和密闭胶条等组成。</w:t>
      </w:r>
    </w:p>
    <w:p w14:paraId="20CE4B9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7-1-2、门扇、门框的维护管理应符合下列规定：</w:t>
      </w:r>
    </w:p>
    <w:p w14:paraId="1CE78E5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（1）各类防护门、防护密闭门、密闭门每年应至少进 3 次全面维修保养，若发现门框与墙体部位出现松动、开裂等情况，应及时修补处理。</w:t>
      </w:r>
    </w:p>
    <w:p w14:paraId="2417D73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（2）各类防护门、防护密闭门、密闭门正常使用或检测时，在门扇手动开启或关闭到位前应减速运行，以免门扇与门框、侧墙或限位装置发生撞击。</w:t>
      </w:r>
    </w:p>
    <w:p w14:paraId="5F17711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（3）立转式防护门、防护密闭门、密闭门长期处于开启或关闭状态时，应用千斤顶支撑或用强度可靠的垫块垫托门扇下部，以防门轴长期局部受力产生疲劳下垂变形。若发现变形，应及时进行调整。</w:t>
      </w:r>
    </w:p>
    <w:p w14:paraId="21B3E83A">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（4）各类门扇、框表面及外露金属件的面漆应完整、无锈斑，如局部漆层剥落，应补涂油漆。（每 3 年～5 年应重刷防锈漆和面漆，受光辐射效应作用的金属门表面，应刷白漆。）费用另算。</w:t>
      </w:r>
    </w:p>
    <w:p w14:paraId="1C271A1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7-1-3、钢筋混凝土防护（密闭）门门框墙若遭外力撞击导致保护层局部破坏，应用高强度等级水泥砂浆修补。穿墙套管中的密封材料，若因老化、收缩而失效，应清除原密封材料，重新做密封处理。</w:t>
      </w:r>
    </w:p>
    <w:p w14:paraId="613E06B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7-1-4、闭锁、铰页的维护管理应符合下列规定：</w:t>
      </w:r>
    </w:p>
    <w:p w14:paraId="4D7C1FB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（1）闭锁、铰页及其传动机构的运动部位每年 2 次注黄油保养，并保持油杯油路或注油嘴通畅，油质符合设计要求，注油时间宜在 3 月份和 9 月份。</w:t>
      </w:r>
    </w:p>
    <w:p w14:paraId="381E652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（2）闭锁、铰页的外露金属表面的面漆应完整、无锈斑。</w:t>
      </w:r>
    </w:p>
    <w:p w14:paraId="4E09206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（3）闭锁、铰页上的各种销轴、垫片、垫圈、密闭圈等零件，若有丢失，应及时配齐。若闭锁轴、铰页轴、垫片等磨损严重导致间隙过大，应予更换。</w:t>
      </w:r>
    </w:p>
    <w:p w14:paraId="686419C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（4）闭锁轴上的密封圈应涂油保养，若老化或损坏应及时更换。</w:t>
      </w:r>
    </w:p>
    <w:p w14:paraId="2D9A449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（5）闭锁、铰页每月应至少开闭 1 次，进行功能检查，确保门扇启闭灵活、平稳。</w:t>
      </w:r>
    </w:p>
    <w:p w14:paraId="0F5EEE1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（6）门轴式铰页的下铰底座内应保持清洁，不得有杂物。</w:t>
      </w:r>
    </w:p>
    <w:p w14:paraId="6E35CC5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（7）闭锁盒内应保持清洁，不得有影响闭锁开关的杂物。</w:t>
      </w:r>
    </w:p>
    <w:p w14:paraId="27E39CA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7-1-5、密闭胶条的维护管理应符合下列规定：</w:t>
      </w:r>
    </w:p>
    <w:p w14:paraId="6D662BC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（1）密封胶条应保持清洁，不得沾油脂、油漆和污渍，并每年涂滑石粉保护。密闭胶条如有局部脱落，应及时粘贴，若发现密胶条出现龟裂、硬化、变色、裂纹等老化现象、贯穿断面的通孔或局部缺胶 2mm 以上，应予更换。</w:t>
      </w:r>
    </w:p>
    <w:p w14:paraId="452FD4C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（2）防护密闭门、密闭门平时不宜长期关闭。若因维护管理的需要而关闭，可每个口部每月轮换关闭其中一道，以避免胶条失效和门扇变形。</w:t>
      </w:r>
    </w:p>
    <w:p w14:paraId="0968BF9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（3）梯形断面密闭胶条应采用 45°斜接头，并应避开圆弧拐弯处。单扇门接头不得超过 2 处，双扇门接头不得超过 6 处；双扇门的 T 形接头应采用模具制作，不得粘接；P 形断面密闭胶条应采用直接头，接口不允许冷粘接；密闭胶条接头处宜平整、无明显凹凸。</w:t>
      </w:r>
    </w:p>
    <w:p w14:paraId="7EFC752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（4）密闭胶条的嵌压或固定应均匀、平整，不得拉长、扭曲和松动。固定方法可先用粘合胶粘贴，而后加压条，用螺钉固定或尼龙铆钉固定。</w:t>
      </w:r>
    </w:p>
    <w:p w14:paraId="06FE561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7-1-6、活置式门槛应按要求妥善存放于门扇内面板或临近侧墙上。平时门槛部位地面螺栓孔应用螺栓堵塞或充塞黄油，上铺橡胶板或钢板，并采取固定措施，以防螺栓孔变形损坏并保持地面平整通畅。</w:t>
      </w:r>
    </w:p>
    <w:p w14:paraId="4320926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7-1-7、电控门的维护管理应符合下列规定：</w:t>
      </w:r>
    </w:p>
    <w:p w14:paraId="63B4F92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（1）电控门的门扇、门框、门锁、铰页、密闭胶条的维护保养应按本规程第 7-1-2～7-1-7 条执行。</w:t>
      </w:r>
    </w:p>
    <w:p w14:paraId="2D3B174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（2）电控门的维护保养应设专人负责，关键部位的电控元器件，如限位开关、控制按钮以及人员出入的各种安全保护装置，要经常检查有无受潮或失控现象，发现问题应及时修复或更换。</w:t>
      </w:r>
    </w:p>
    <w:p w14:paraId="6EEA9B0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（3）电动设备的控制盘（箱），应集中设置在控制室内，不得安装在温湿度不符合要求的通道内。</w:t>
      </w:r>
    </w:p>
    <w:p w14:paraId="7E8C355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（4）电控门所用电动机工作制一般10%左右，不宜长时间连续工作，以避免电动机过热，降低使用寿命。</w:t>
      </w:r>
    </w:p>
    <w:p w14:paraId="4CE86CF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若电控门开启、关闭时，发现闭锁、铰页、碰锁和传动机构有异常现象或发出异常声音，应立刻关闭检修；若电控门开启、关闭时出现碰撞明显现象，应检查行程开关或其它控制机构，及时排除故障。对活动零部件每年维护保养 2 次。出现反弹现象，应检查碰锁。</w:t>
      </w:r>
    </w:p>
    <w:p w14:paraId="70516B5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（6）对启闭电控门扇的钢丝绳、链条、液压油缸以及引入门扇上的电缆或液压油管等，应定期检查保养，发现问题及时处理。</w:t>
      </w:r>
    </w:p>
    <w:p w14:paraId="66B26D6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7-1-8、防护门、防护密闭门、密闭门的故障及其排除应符合下列规定：</w:t>
      </w:r>
    </w:p>
    <w:p w14:paraId="4DD88C6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（1）门扇开关不灵活，应调整下列各项内容：</w:t>
      </w:r>
    </w:p>
    <w:p w14:paraId="143A24AC">
      <w:pPr>
        <w:pStyle w:val="19"/>
        <w:keepNext w:val="0"/>
        <w:keepLines w:val="0"/>
        <w:pageBreakBefore w:val="0"/>
        <w:widowControl w:val="0"/>
        <w:kinsoku/>
        <w:wordWrap/>
        <w:overflowPunct/>
        <w:topLinePunct w:val="0"/>
        <w:bidi w:val="0"/>
        <w:spacing w:line="360" w:lineRule="auto"/>
        <w:ind w:firstLine="1120" w:firstLineChars="4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1）上下铰页轴不同心，应调整上下铰座的垫片；</w:t>
      </w:r>
    </w:p>
    <w:p w14:paraId="0CD39F95">
      <w:pPr>
        <w:pStyle w:val="19"/>
        <w:keepNext w:val="0"/>
        <w:keepLines w:val="0"/>
        <w:pageBreakBefore w:val="0"/>
        <w:widowControl w:val="0"/>
        <w:kinsoku/>
        <w:wordWrap/>
        <w:overflowPunct/>
        <w:topLinePunct w:val="0"/>
        <w:bidi w:val="0"/>
        <w:spacing w:line="360" w:lineRule="auto"/>
        <w:ind w:firstLine="1120" w:firstLineChars="4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2）铰页轴与铰页座锈蚀，应除锈清洗、涂油；</w:t>
      </w:r>
    </w:p>
    <w:p w14:paraId="27D3B9C9">
      <w:pPr>
        <w:pStyle w:val="19"/>
        <w:keepNext w:val="0"/>
        <w:keepLines w:val="0"/>
        <w:pageBreakBefore w:val="0"/>
        <w:widowControl w:val="0"/>
        <w:kinsoku/>
        <w:wordWrap/>
        <w:overflowPunct/>
        <w:topLinePunct w:val="0"/>
        <w:bidi w:val="0"/>
        <w:spacing w:line="360" w:lineRule="auto"/>
        <w:ind w:firstLine="1120" w:firstLineChars="4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3）门扇下垂，应调整铰页。</w:t>
      </w:r>
    </w:p>
    <w:p w14:paraId="1EC2767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（2）当闭锁开关不灵活，应调整下列各项内容：</w:t>
      </w:r>
    </w:p>
    <w:p w14:paraId="5F27F6A6">
      <w:pPr>
        <w:pStyle w:val="19"/>
        <w:keepNext w:val="0"/>
        <w:keepLines w:val="0"/>
        <w:pageBreakBefore w:val="0"/>
        <w:widowControl w:val="0"/>
        <w:kinsoku/>
        <w:wordWrap/>
        <w:overflowPunct/>
        <w:topLinePunct w:val="0"/>
        <w:bidi w:val="0"/>
        <w:spacing w:line="360" w:lineRule="auto"/>
        <w:ind w:firstLine="1120" w:firstLineChars="4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1）闭锁轴与轴套锈蚀，应除锈清洗、涂油；</w:t>
      </w:r>
    </w:p>
    <w:p w14:paraId="38156A8D">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2）闭锁轴端锁紧螺母、定位装置过紧，应调整螺母、弹簧或卡子；</w:t>
      </w:r>
    </w:p>
    <w:p w14:paraId="0EA1142F">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3）联动闭锁的连杆变形，应调平调直联杆，连接螺母应松紧适度；</w:t>
      </w:r>
    </w:p>
    <w:p w14:paraId="5C4BA5A8">
      <w:pPr>
        <w:pStyle w:val="19"/>
        <w:keepNext w:val="0"/>
        <w:keepLines w:val="0"/>
        <w:pageBreakBefore w:val="0"/>
        <w:widowControl w:val="0"/>
        <w:kinsoku/>
        <w:wordWrap/>
        <w:overflowPunct/>
        <w:topLinePunct w:val="0"/>
        <w:bidi w:val="0"/>
        <w:spacing w:line="360" w:lineRule="auto"/>
        <w:ind w:firstLine="1120" w:firstLineChars="4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4）蜗轮蜗杆或齿轮齿条齿合不好，应调至最佳状态。</w:t>
      </w:r>
    </w:p>
    <w:p w14:paraId="5CF4E18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（3）防护密闭门、密闭门关闭后密闭性能差，应调整下列各项内容：</w:t>
      </w:r>
    </w:p>
    <w:p w14:paraId="532028E3">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1）门扇密闭胶条压缩不均匀，应调整闭锁、铰页垫片（17mm 密闭胶条压缩量为 5mm～7mm）；</w:t>
      </w:r>
    </w:p>
    <w:p w14:paraId="41C617F0">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2）混凝土门扇与门框的接触面不平整，若系门扇表面不平，可用高强度水泥砂浆修补门扇；若系门框撞击变形，可用钢板贴焊门框凹处，打磨整平、刷漆；</w:t>
      </w:r>
    </w:p>
    <w:p w14:paraId="50051FAD">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3）闭锁轴或联动闭锁座的垫圈不合适，应调整垫圈厚度。</w:t>
      </w:r>
    </w:p>
    <w:p w14:paraId="4FC51EA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（4）防护门关闭后，若门扇与门框间隙过大，应针对不同原因，按本条例第 3 款有关规定修补门扇、门框，或调整闭锁轴、联动闭锁座的垫圈厚度。</w:t>
      </w:r>
    </w:p>
    <w:p w14:paraId="34001EB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（5）在拆卸、装配零件时，不得用铁锤直接敲打。卸下的零件应按顺序妥善保管，不得丢失。安装时要按先后顺序，保持正确的装配位置。</w:t>
      </w:r>
    </w:p>
    <w:p w14:paraId="60C183D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7-2、防爆波活门</w:t>
      </w:r>
    </w:p>
    <w:p w14:paraId="456A01B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7-2-1、防爆波活门每年应在潮湿季节前、后各检修 1 次；排烟口部的防爆波活门应每季度检修 1 次。</w:t>
      </w:r>
    </w:p>
    <w:p w14:paraId="05825F7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7-2-2、民防工程通风系统中常用的防爆波活门有悬板式防爆波活门（简称悬板式活门）和胶管式防爆波活门（简称胶管式活门）。悬板式活门主要由底座板、悬板、铰页和挡板等部件组成。</w:t>
      </w:r>
    </w:p>
    <w:p w14:paraId="03FFB8B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7-2-3、悬板式活门的维护管理应符合下列规定：</w:t>
      </w:r>
    </w:p>
    <w:p w14:paraId="560A101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应每年检查悬摆板的活动情况，观察其与底座板的贴合是否严密。检查方法是：用手轻压（8kgf～10kgf），看悬摆板活动是否灵活；下压时悬摆板和底座板贴合是否严密，松开后悬摆板自动复位与限位座贴合。</w:t>
      </w:r>
    </w:p>
    <w:p w14:paraId="7F84CC2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（2）应每季度擦拭活门表面的灰尘、污垢；活门板与底座板的接触面及风孔应保持清洁，若有油污、烟灰，应清除干净。</w:t>
      </w:r>
    </w:p>
    <w:p w14:paraId="26880C6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（3）各外露金属表面应刷防锈漆和面漆，以防锈蚀；螺栓、螺母、铰面等部位应涂黄油；排烟口部的活门应涂刷防火漆或耐高温、耐腐蚀涂料。</w:t>
      </w:r>
    </w:p>
    <w:p w14:paraId="4781FBD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（4）检查底座和限位座上的橡皮是否老化、脱落，局部脱落应及时粘接，老化的应及时更换。橡皮板应保持清洁，不得沾油脂、油漆和污渍，可以涂滑石粉保护。</w:t>
      </w:r>
    </w:p>
    <w:p w14:paraId="7421412A">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（5）活门的零件，若有损坏或丢失，应按设计要求更换和配齐。</w:t>
      </w:r>
    </w:p>
    <w:p w14:paraId="3B2FE3B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（6）活门的张开角度应符合设计要求，否则应及时调整。</w:t>
      </w:r>
    </w:p>
    <w:p w14:paraId="2CB1009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7-2-4、胶管式活门的维护管理应符合下列规定：</w:t>
      </w:r>
    </w:p>
    <w:p w14:paraId="6F96E4B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（1）胶管式活门使用于抗力为 0.6MPa 以下的各种等级民防工程；适用温度范围为-30°C～+40°C，在 20°C 条件下，使用年限为 10 年。</w:t>
      </w:r>
    </w:p>
    <w:p w14:paraId="5100B4D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（2）在和平时期胶管式活门允许只安装门框和门扇，平时未安装的胶管，应妥善保管、避免老化并定期检查，临战前安装。</w:t>
      </w:r>
    </w:p>
    <w:p w14:paraId="0A2C174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（3）胶管式活门不能用于排烟系统。</w:t>
      </w:r>
    </w:p>
    <w:p w14:paraId="1DA4CAC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7-2-5、防爆式活门故障及其排除应符合下列规定：</w:t>
      </w:r>
    </w:p>
    <w:p w14:paraId="7A0758D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（1）防爆波活门板转动或滑动不灵活，应调整下列各项内容：</w:t>
      </w:r>
    </w:p>
    <w:p w14:paraId="2C111F8F">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1）铰页轴与铰页座、导向轴与轴套锈蚀，应除锈、清洗和涂油；</w:t>
      </w:r>
    </w:p>
    <w:p w14:paraId="63F26051">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2）悬摆式活门的铰页轴不同心，应调整铰页及其垫片；</w:t>
      </w:r>
    </w:p>
    <w:p w14:paraId="715DE558">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3）悬板下边缘与限位器卡阻，应调整限位器位置；</w:t>
      </w:r>
    </w:p>
    <w:p w14:paraId="210E8C55">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4）胶管活门，按使用说明书排除。</w:t>
      </w:r>
    </w:p>
    <w:p w14:paraId="532D1B4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（2）防爆波活门板关闭后与底座板贴合不严密，应按下列方法排除：</w:t>
      </w:r>
    </w:p>
    <w:p w14:paraId="69334852">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1）活门板与底座板的接触面若有杂物，应予清除；胶板若隆起、脱落、变形、老化，应及时修复或更换；</w:t>
      </w:r>
    </w:p>
    <w:p w14:paraId="58C80403">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2）活门板若有变形，应卸下校平；若变形较大且又无法校正，应按设计要求及时更换；</w:t>
      </w:r>
    </w:p>
    <w:p w14:paraId="0C065414">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3）铰页座高度不当，应调整铰页座的垫片厚度；</w:t>
      </w:r>
    </w:p>
    <w:p w14:paraId="31D9B37B">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4）门式悬摆活门，其底座为一扇能开关的门。若该门关闭后闭锁装置不能将其关紧或锁住，可在闭锁装置上增加或减少垫片来调整，调整后，活动部位要加注润滑油。</w:t>
      </w:r>
    </w:p>
    <w:p w14:paraId="6A18E1B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7-3、密闭观察窗</w:t>
      </w:r>
    </w:p>
    <w:p w14:paraId="10FD277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7-3-1、密闭观察窗的维护管理应符合下列规定：</w:t>
      </w:r>
    </w:p>
    <w:p w14:paraId="6BB61E4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（1）密闭观察窗的有机玻璃应保持清洁透明，擦拭时应采用细绒布，严禁使用汽油、酒精等溶剂。若有机玻璃出现裂纹或透明度下降影响观察时，应予以更换。</w:t>
      </w:r>
    </w:p>
    <w:p w14:paraId="2BFDE92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（2）密闭观察窗应保持良好的密闭性能，若胶板老化或出现贯穿断面的通缝，应按设计要求更换。</w:t>
      </w:r>
    </w:p>
    <w:p w14:paraId="445A429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7-4、防护（密闭）盖板、封堵板</w:t>
      </w:r>
    </w:p>
    <w:p w14:paraId="5CDEC66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7-4-1、防护（密闭）盖板的维护管理应符合下列规定：</w:t>
      </w:r>
    </w:p>
    <w:p w14:paraId="61699C8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（1）防护（密闭）盖板、密闭挡板所用封堵的预埋金属构件外露部分应保持良好的油漆状态，无锈蚀，如有局部油漆脱落应补刷。</w:t>
      </w:r>
    </w:p>
    <w:p w14:paraId="35C18B3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（2）螺孔、螺栓等部位应涂黄油。</w:t>
      </w:r>
    </w:p>
    <w:p w14:paraId="726D24D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（3）防护（密闭）盖板、密闭挡板应保持良好的密闭性能，若胶板老化或出现贯穿断面的通缝，应按设计要求更换。</w:t>
      </w:r>
    </w:p>
    <w:p w14:paraId="62A0384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7-4-2、防护密闭堵板（构件）的维护管理应符合下列规定：</w:t>
      </w:r>
    </w:p>
    <w:p w14:paraId="0C8B4AD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（1）各类封堵板（构件）及相应配套螺栓等平时应妥善存放指定位置，并做好日常保养，临战安装。</w:t>
      </w:r>
    </w:p>
    <w:p w14:paraId="0BA31E8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（2）各类封堵板（构件）所用封堵的预埋金属构件外露部分应保持良好的油漆状态，无锈蚀，如有局部油漆脱落应补刷。螺孔、螺栓等部件应涂黄油。</w:t>
      </w:r>
    </w:p>
    <w:p w14:paraId="7229032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（3）封堵孔口前的门槛槽应保持清洁，不得有杂物；应定期检查门槛槽盖板，若发现变形或损坏，应及时修复或更换。</w:t>
      </w:r>
    </w:p>
    <w:p w14:paraId="27A615B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7-5、挡窗板</w:t>
      </w:r>
    </w:p>
    <w:p w14:paraId="0E8309A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7-5-1、挡窗板的维护管理应符合下列规定：</w:t>
      </w:r>
    </w:p>
    <w:p w14:paraId="4C94666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（1）挡窗板应每半年进行 1 次性能检测与保养。</w:t>
      </w:r>
    </w:p>
    <w:p w14:paraId="1F1A563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（2）挡窗板外露金属表面的面漆应完整、无锈斑。</w:t>
      </w:r>
    </w:p>
    <w:p w14:paraId="18D94A3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（3）挡窗板的防护能力达不到设计要求时，应及时采取有效的补强措施或更换新挡窗板。</w:t>
      </w:r>
    </w:p>
    <w:p w14:paraId="000F842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窗扇关闭不严，应检查窗扇、窗口周边结构的表面平整度与铰页变形情况。若窗扇表面达不到设计要求，钢结构窗扇应卸下后校形，混凝土结构窗扇应采用高强度等级的水泥砂浆进行修补，刮两道腻子后用砂纸打磨平整，最后刷白涂料两道。若窗口周边的表面平整度达不到设计要求，应对受影响的结构表面进行剔凿、找平、补强处理。若系铰页变形，应卸下后校形或更换。</w:t>
      </w:r>
    </w:p>
    <w:p w14:paraId="37DAF4F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（5）装、卸挡窗板时，不得损坏铰页。挡窗板铰页所有缝隙中应填满黄油，外表面用塑料薄膜包裹。</w:t>
      </w:r>
    </w:p>
    <w:p w14:paraId="62CF22F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7-6、扩散室（箱）、消波室</w:t>
      </w:r>
    </w:p>
    <w:p w14:paraId="79F9A1FA">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7-6-1、扩散室（箱）的维护管理应符合下列规定：</w:t>
      </w:r>
    </w:p>
    <w:p w14:paraId="67C5BE6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（1）扩散室（箱）严禁堆放杂物或改做他用，室内应保持清洁、不得有积水，墙面应干燥，进、排风孔不得堵塞。排烟口的扩散室（箱），每半年清除油污烟灰 1 次，进、排风口不得堵塞。</w:t>
      </w:r>
    </w:p>
    <w:p w14:paraId="45AAD88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（2）扩散室（箱）内法兰堵板的平时应盖严密闭，不漏气。应定期检查，更换老化的橡胶垫圈。</w:t>
      </w:r>
    </w:p>
    <w:p w14:paraId="09F95F4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（3）每半年检查扩散室内的地漏是否畅通，发现问题及时处理，以保证战时洗消水的顺利排出。</w:t>
      </w:r>
    </w:p>
    <w:p w14:paraId="5B0C02C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（4）保持扩散室（箱）内干燥，每半年检查扩散箱的泄水孔，防止堵塞。未安装的扩散箱应就近储放，放置房间要保持干燥、无积水，保证无锈蚀和损坏情况。</w:t>
      </w:r>
    </w:p>
    <w:p w14:paraId="7128A5ED">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7-6-2、平战结合的民防工程，消波室的填充物平时可不放，待临战前再放置。</w:t>
      </w:r>
    </w:p>
    <w:p w14:paraId="15A598A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8、通风系统</w:t>
      </w:r>
    </w:p>
    <w:p w14:paraId="15C49A0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8-1、运行管理</w:t>
      </w:r>
    </w:p>
    <w:p w14:paraId="1504A65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8-1-1、进风、排风等通风空调系统，必须达到设计风速和有关技术标准，满足换气次数，保证工程内部空气质量。</w:t>
      </w:r>
    </w:p>
    <w:p w14:paraId="236C1FA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8-1-2、为民防工程正常运行，应采取下列防潮措施：</w:t>
      </w:r>
    </w:p>
    <w:p w14:paraId="7AD209C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（1）平时使用的民防工程，人员不经常出入口的口部应相对密闭。</w:t>
      </w:r>
    </w:p>
    <w:p w14:paraId="44A9E1A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（2）平时间歇使用的民防工程，应遵循本条例 1、2 款所规定的原则，结合内部使用维护所要求的标准进行通风、排湿。</w:t>
      </w:r>
    </w:p>
    <w:p w14:paraId="4A39C7F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（3）民防工程内的防潮措施（防潮门、防潮门帘、水池和水沟盖板）应每年全面检查 1 次，若有损坏应及时修复或更换。</w:t>
      </w:r>
    </w:p>
    <w:p w14:paraId="436A97E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（4）严格控制湿源，加强用水管理。水池、水沟应加盖；用（贮）水房间（如洗漱间、厕所、工艺用水房间、水库等）的门应经常处于关闭状态，并负压排风；生活用水不得随意倾倒，不宜用湿拖把擦地面。</w:t>
      </w:r>
    </w:p>
    <w:p w14:paraId="10AB345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（5）对无空调系统但有防潮要求的房间，可采用氯化钙或硅胶等吸湿剂吸湿。采用氯化钠吸湿，应防止其与工程内的设备、管道、地板、墙壁等直接接触，以免腐蚀。</w:t>
      </w:r>
    </w:p>
    <w:p w14:paraId="66E4C58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8-2、除尘、滤毒设备</w:t>
      </w:r>
    </w:p>
    <w:p w14:paraId="5720245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8-2-1、油网滤尘器的维护管理应符合下列规定：</w:t>
      </w:r>
    </w:p>
    <w:p w14:paraId="3667860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（1）应每年检查油网滤尘器的过滤丝网、外框、固定件及压差测量管及球阀等，部件应完整齐全、固定牢固。有缺失应及时修补，有松动应及时紧固。</w:t>
      </w:r>
    </w:p>
    <w:p w14:paraId="319F61C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（2）安装时，应将网孔的金属网放在进风侧，并固定牢靠。平时应保持性能良好，满足战时滤尘要求。</w:t>
      </w:r>
    </w:p>
    <w:p w14:paraId="7EC5E7F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（3）清洁式通风时，若发现油网滤尘器积尘太多、风量明显下降，应及时清洗。</w:t>
      </w:r>
    </w:p>
    <w:p w14:paraId="6DE9CFB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（4）若油网滤尘器已被毒剂或放射性物质污染，当超过允许染毒浓度或放射剂量时，应清洗或更换。</w:t>
      </w:r>
    </w:p>
    <w:p w14:paraId="08D0AADA">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（5）油网滤尘器的外框及支架表面若有锈蚀，应及时除锈刷漆。</w:t>
      </w:r>
    </w:p>
    <w:p w14:paraId="6E0BD9B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（6）油槽内的杂物应及时清理。</w:t>
      </w:r>
    </w:p>
    <w:p w14:paraId="2A3C543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（7）当油网滤尘器的滤网损坏面积达 10%以上时，应评定为报废，必须进行更换。</w:t>
      </w:r>
    </w:p>
    <w:p w14:paraId="6A7A414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（8）在滤尘器前后设压差测量管，并连接在微压计上，使用过程中，当阻力升到终阻力时，即油网滤尘器前后压差达到 70Pa 时，或油网的油质不符合要求，应进行洗涤与浸油。</w:t>
      </w:r>
    </w:p>
    <w:p w14:paraId="39B43FC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8-2-2、油网滤尘器的洗涤和浸油，其方法如下：</w:t>
      </w:r>
    </w:p>
    <w:p w14:paraId="75A082F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（1）将金属从铁壳内框上拆下，用 10%碱水或工业小苏打溶液（温度为 60°C-70°C）清除油污，再用清水冲净凉干，按顺序装入内框后，再浸入 10#或 20#机油，待油滴干后，装入滤尘器框架。</w:t>
      </w:r>
    </w:p>
    <w:p w14:paraId="71959D4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（2）油网滤尘器在运输和清洗时不得挤压和碰摔网层，以免网片变形影响使用。</w:t>
      </w:r>
    </w:p>
    <w:p w14:paraId="522E02E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8-2-3、过滤吸收器的维护管理除应符合生产厂家的维护管理手册外，还应符合下列规定：</w:t>
      </w:r>
    </w:p>
    <w:p w14:paraId="144FD741">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（1）安装在通风管道上的过滤吸收器，平时不使用时必须关闭过滤吸收器前后的阀门。</w:t>
      </w:r>
    </w:p>
    <w:p w14:paraId="535EE06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（2）过滤吸收器不得与酸碱、消毒剂和燃料等共同存放，以免破坏内部材料使之失效。</w:t>
      </w:r>
    </w:p>
    <w:p w14:paraId="0ECAC0B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（3）各种配件（如连接橡胶短管、卡箍等）均应齐全，放置有序，保持完好；如有老化、失效应及时更新。</w:t>
      </w:r>
    </w:p>
    <w:p w14:paraId="79890A2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（4）战时滤毒通风管路上的两道密闭阀门应处于关闭状态，不得随意打开。</w:t>
      </w:r>
    </w:p>
    <w:p w14:paraId="4E088FD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（5）安装过滤吸收器的滤毒室应保持整洁、干燥，当滤毒室的空气相对湿度大于 75%时，应采取将湿措施，防止过滤吸收器中滤料受潮。</w:t>
      </w:r>
    </w:p>
    <w:p w14:paraId="7125436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（6）每年至少应对过滤吸收器进行 1 次外观检查。定期对过滤吸收器的连接管进行擦拭、除锈、补漆，更换锈蚀的螺钉、螺母和其他连接件，更换老化的橡胶垫圈和橡胶软接头。</w:t>
      </w:r>
    </w:p>
    <w:p w14:paraId="364652B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（7）通风系统进行维护通风时，不得打开滤毒通风管路上的密闭阀门，使空气流经过滤吸收器。</w:t>
      </w:r>
    </w:p>
    <w:p w14:paraId="28B082E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（8）若过滤吸收器外壳有碰伤、穿孔，或两端的密封板密封不好，必须由专业部门对过滤吸收器的性能进行检测，达不到使用要求的必须予以更换。</w:t>
      </w:r>
    </w:p>
    <w:p w14:paraId="7CE8BC5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8-3、密闭阀门、超压排气阀</w:t>
      </w:r>
    </w:p>
    <w:p w14:paraId="31AA2FC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8-3-1、密闭阀门分为杠杆式密闭阀门和双连杆密闭阀门，每种阀门又分为手动密闭阀门和手电动两用密闭阀门。</w:t>
      </w:r>
    </w:p>
    <w:p w14:paraId="58EB95A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8-3-2、手（电）动密闭阀门的维护应符合下列规定：</w:t>
      </w:r>
    </w:p>
    <w:p w14:paraId="598534A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（1）每月应进行一次保养，项目包括：</w:t>
      </w:r>
    </w:p>
    <w:p w14:paraId="7D9C8879">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1）检查密闭阀门的完整性，其阀性、操作手柄、锁紧装置等部件不得缺失。</w:t>
      </w:r>
    </w:p>
    <w:p w14:paraId="2CD98B70">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2）擦拭阀体各部件的灰尘、污垢，保持阀体、电机、操作手柄干净。</w:t>
      </w:r>
    </w:p>
    <w:p w14:paraId="6E7A64DC">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3）检查电器线路、开关、电动机等部件绝缘性能，发现问题应及时处理。</w:t>
      </w:r>
    </w:p>
    <w:p w14:paraId="051E69EB">
      <w:pPr>
        <w:pStyle w:val="19"/>
        <w:keepNext w:val="0"/>
        <w:keepLines w:val="0"/>
        <w:pageBreakBefore w:val="0"/>
        <w:widowControl w:val="0"/>
        <w:kinsoku/>
        <w:wordWrap w:val="0"/>
        <w:overflowPunct/>
        <w:topLinePunct w:val="0"/>
        <w:autoSpaceDE w:val="0"/>
        <w:autoSpaceDN w:val="0"/>
        <w:bidi w:val="0"/>
        <w:adjustRightInd w:val="0"/>
        <w:snapToGrid/>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4）油杯中应注满油，运动部件涂满黄油，以保证部件润滑和防止锈蚀。阀体及配件若有锈蚀，应及时除锈刷漆。应先除锈，刷二道防锈漆、二道面漆，保证漆面均匀。</w:t>
      </w:r>
    </w:p>
    <w:p w14:paraId="3631C09A">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5）检查阀门与电动机、传动机构、管道等连接是否紧密、牢固，发现问题应及时处理。</w:t>
      </w:r>
    </w:p>
    <w:p w14:paraId="37B76366">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6）开关阀门 1-2 次，检查手柄、阀板等部件的关闭开启情况，若运行时有异常噪声、开关不灵活等应及时维修。手（电）动两用密闭阀门除手动操作外，还应实施电动运行操作，以便检查阀门是否正常电动开、关到位，有无异常杂音。重点检查电控元器件的受潮或失控现象，发现问题应及时修复或更换。</w:t>
      </w:r>
    </w:p>
    <w:p w14:paraId="7D2BDC1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（2）每年应进行一次全面维护，项目包括：</w:t>
      </w:r>
    </w:p>
    <w:p w14:paraId="6CE9AC62">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1）对阀门壳体、阀门板表面、壳体密封面和其他金属表面除锈刷漆。</w:t>
      </w:r>
    </w:p>
    <w:p w14:paraId="5C1D7551">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2）更换老化的橡胶密封圈和失效的弹簧、填料等。</w:t>
      </w:r>
    </w:p>
    <w:p w14:paraId="46051D83">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3）对减速箱及转动部位添加或更换润滑油，启动阀门，减速器运行时若有异常噪声和冲击声，应查明原因，进行修复。</w:t>
      </w:r>
    </w:p>
    <w:p w14:paraId="666C215E">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4）检查微动开关和限位开关接触点情况，更换触点接触不良的开关。</w:t>
      </w:r>
    </w:p>
    <w:p w14:paraId="2A20566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（3）每 5 年应拆卸减速器，检查内部齿轮、轴承的磨损情况，若有损坏应修复或更换。</w:t>
      </w:r>
    </w:p>
    <w:p w14:paraId="221E7722">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8-3-3、手（电）动密闭阀门全部检修后，关闭密闭阀门，在两阀门之间气密风管上充气加压至 5.06x104Pa，进行密闭性能检查，保持 5 分钟不漏气；否则，应检查原因，重新调整。经维护后仍无法满足密闭要求的应予报废，进行更换。</w:t>
      </w:r>
    </w:p>
    <w:p w14:paraId="36B9AA8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8-3-4、手（电）动密闭阀门故障及其排除应符合下列规定：</w:t>
      </w:r>
    </w:p>
    <w:p w14:paraId="05CCBF0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（1）密闭面漏气：</w:t>
      </w:r>
    </w:p>
    <w:p w14:paraId="1EFCDDE8">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1）因杠杆弹簧失效，应将随带备件及时更换；</w:t>
      </w:r>
    </w:p>
    <w:p w14:paraId="3935F403">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2）因橡胶密闭圈发生老化，影响密封性能造成泄漏，应随时更换；</w:t>
      </w:r>
    </w:p>
    <w:p w14:paraId="1C8B5FDC">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3）因密封面上有油污附着，应立即清除干净。</w:t>
      </w:r>
    </w:p>
    <w:p w14:paraId="3DA6585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（2）填料泄漏：</w:t>
      </w:r>
    </w:p>
    <w:p w14:paraId="13574827">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1）填料过时或压紧弹簧失效，应及时更换；</w:t>
      </w:r>
    </w:p>
    <w:p w14:paraId="3202C5DC">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2）若压紧填料的压盖没压紧，应旋紧螺母。</w:t>
      </w:r>
    </w:p>
    <w:p w14:paraId="0391307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（3）壳体法兰与焊接管法兰间漏气：</w:t>
      </w:r>
    </w:p>
    <w:p w14:paraId="20D07975">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1）因垫片老化，或焊接管法兰不平或有刻痕，均应更换；</w:t>
      </w:r>
    </w:p>
    <w:p w14:paraId="1986B58D">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2）因螺栓松紧不一，应对称旋紧。</w:t>
      </w:r>
    </w:p>
    <w:p w14:paraId="2A3F06A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（4）轴旋转不灵活：</w:t>
      </w:r>
    </w:p>
    <w:p w14:paraId="588C5F42">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1）因轴承内润滑油已干，应及时清洗加注润滑油；</w:t>
      </w:r>
    </w:p>
    <w:p w14:paraId="633CB08F">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2）因填料压得过紧，应稍松动填料压盖上的螺母。</w:t>
      </w:r>
    </w:p>
    <w:p w14:paraId="76E70A6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（5）手电动两用密闭阀门和离合器操作不灵活：</w:t>
      </w:r>
    </w:p>
    <w:p w14:paraId="76B01BA6">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1）如变速箱内润滑油干燥，应添加润滑油；</w:t>
      </w:r>
    </w:p>
    <w:p w14:paraId="54D9A9C1">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2）如各齿轮及离合器之间的间隙不当，应将变速箱内零件拆下清洗后安装，安装时应调整好间隙，并加注润滑油；</w:t>
      </w:r>
    </w:p>
    <w:p w14:paraId="10436131">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3）如变速箱内的齿轮、轴、轴套等零件有损坏或磨损严重时，应及时修复或更换。</w:t>
      </w:r>
    </w:p>
    <w:p w14:paraId="262F65C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（6）电动阀门发现阀门关闭不严或不能全开和阀门已关死或全开，但行程开关还未动作时，应对电动装置进行调整。关闭位置的调整方法如下：</w:t>
      </w:r>
    </w:p>
    <w:p w14:paraId="6781E1E2">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1）旋去螺钉，从行程开关上取下滚子柄；</w:t>
      </w:r>
    </w:p>
    <w:p w14:paraId="1D4483F9">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2）将阀门置于关闭位置（用手动将阀门关死）；</w:t>
      </w:r>
    </w:p>
    <w:p w14:paraId="5F7904F4">
      <w:pPr>
        <w:pStyle w:val="19"/>
        <w:keepNext w:val="0"/>
        <w:keepLines w:val="0"/>
        <w:pageBreakBefore w:val="0"/>
        <w:widowControl w:val="0"/>
        <w:kinsoku/>
        <w:wordWrap/>
        <w:overflowPunct/>
        <w:topLinePunct w:val="0"/>
        <w:bidi w:val="0"/>
        <w:spacing w:line="360" w:lineRule="auto"/>
        <w:ind w:left="1120" w:leftChars="40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3）将滚子柄装入行程开关，使滚子柄与限位柄接触，并用螺钉固定；</w:t>
      </w:r>
    </w:p>
    <w:p w14:paraId="7732D90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（7）开启位置的调整与上述步骤相同，但需将阀门板置于开启位置。</w:t>
      </w:r>
    </w:p>
    <w:p w14:paraId="38192AA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8-3-5、自动排气阀门、超压排气阀的维护管理应符合下列规定：</w:t>
      </w:r>
    </w:p>
    <w:p w14:paraId="103A59A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（1）定期检查超压排气阀的完整性，其外壳、活盘、杠杆、重锤、绊闩等部件不得缺失，有缺失时及时修补，有松动及时紧固。</w:t>
      </w:r>
    </w:p>
    <w:p w14:paraId="173A710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（2）定期对阀门外套、阀门壳体、阀门板表面、壳体密封面、重锤及其他外露金属表面的污垢、锈蚀进行擦拭、除锈刷漆。</w:t>
      </w:r>
    </w:p>
    <w:p w14:paraId="5347C63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（3）清除阀门腔内及密封面污垢。</w:t>
      </w:r>
    </w:p>
    <w:p w14:paraId="6182631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（4）每年应检查 1 次阀门的灵敏度，紧固松动的销子、螺栓等连接件，重锤涂黄油，旋转部位应注入润滑油，更换老化的密封圈和失效的弹簧、填料，更换老化或损坏的零部件。</w:t>
      </w:r>
    </w:p>
    <w:p w14:paraId="6714D89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（5）检修更换重要零部件后应做密闭试验，闭锁阀门，加压 100mm 水柱，在 1 分钟内水柱不下降为合格。</w:t>
      </w:r>
    </w:p>
    <w:p w14:paraId="2DDCADB8">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每 5 年应做 1 次阀门密闭性能试验，并做详细记录。维护后经检查，启闭灵活性、密闭性仍达不到要求的，应予报废，进行更换。</w:t>
      </w:r>
    </w:p>
    <w:p w14:paraId="157BD87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8-4、测压装置</w:t>
      </w:r>
    </w:p>
    <w:p w14:paraId="343EDCC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8-4-1、测压装置的维护管理应符合下列规定：</w:t>
      </w:r>
    </w:p>
    <w:p w14:paraId="158763CA">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（1）测压装置应齐全、无损坏、固定牢固。</w:t>
      </w:r>
    </w:p>
    <w:p w14:paraId="066BEEA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（2）应每半年检查 1 次测压管是否通畅、有无锈蚀，若测压管堵塞，进行疏通，外表锈蚀应除锈。</w:t>
      </w:r>
    </w:p>
    <w:p w14:paraId="02CF95F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（3）应每半年检查 1 次测压管与测压计的连接管是否老化，玻璃管是否破损，连接是否紧密，若连接软管老化、玻璃管破损，应予更换；若测压管及其玻璃管破损严重，应予报废。</w:t>
      </w:r>
    </w:p>
    <w:p w14:paraId="7D1C4BEF">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（4）应每半年检查 1 次测压管上的阀门，应做到灵活、不漏气，若测压装置上的球阀不灵活、漏气，应予更换。</w:t>
      </w:r>
    </w:p>
    <w:p w14:paraId="085805C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（5）长期不用时，应放空仪器内的水，相关的配件应妥善保管，不得丢失。</w:t>
      </w:r>
    </w:p>
    <w:p w14:paraId="4884516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（6）维护工作完成后，应校验测压计的准确性。</w:t>
      </w:r>
    </w:p>
    <w:p w14:paraId="66A0ACE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8-5、其他</w:t>
      </w:r>
    </w:p>
    <w:p w14:paraId="737253B4">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8-5-1、染毒管道检修后，应结合密闭阀门的密闭性能试验进行气密检查。</w:t>
      </w:r>
    </w:p>
    <w:p w14:paraId="7D87777B">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8-5-2、建筑风道的检查门密封不严或穿墙管孔隙堵塞不密而产生漏风现象，应及时维护。</w:t>
      </w:r>
    </w:p>
    <w:p w14:paraId="02159D6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1、主要零配件（100 元以上）由甲方提供，或者由甲方出资乙方代购买及安装。</w:t>
      </w:r>
    </w:p>
    <w:p w14:paraId="3716810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2、如果结构漏水或因甲方破坏人防结构及拆除设备。</w:t>
      </w:r>
    </w:p>
    <w:p w14:paraId="0C4C8985">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3、如遇政府相关部门检查由乙方负责承担处理。</w:t>
      </w:r>
    </w:p>
    <w:p w14:paraId="7440FA43">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9、例行养护表格详见附件</w:t>
      </w:r>
    </w:p>
    <w:p w14:paraId="01CB6DC9">
      <w:pPr>
        <w:pStyle w:val="19"/>
        <w:keepNext w:val="0"/>
        <w:keepLines w:val="0"/>
        <w:pageBreakBefore w:val="0"/>
        <w:widowControl w:val="0"/>
        <w:kinsoku/>
        <w:wordWrap/>
        <w:overflowPunct/>
        <w:topLinePunct w:val="0"/>
        <w:bidi w:val="0"/>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（五）付款方式</w:t>
      </w:r>
    </w:p>
    <w:p w14:paraId="2CA49B89">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1、本项目按季度结算审核、季度支付的方式进行支付，由乙方负责编制结算申请文件，并报经甲方审核同意后，按季度进行支付。</w:t>
      </w:r>
    </w:p>
    <w:p w14:paraId="42637AEC">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2、乙方应在每季最后一个月 20 日前向甲方上报本季的费用结算书，结算书至少包括维修的备件清单等资料。</w:t>
      </w:r>
    </w:p>
    <w:p w14:paraId="4FD1881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3、乙方需在甲方付款前，开具相应金额含税</w:t>
      </w:r>
      <w:r>
        <w:rPr>
          <w:rFonts w:hint="eastAsia" w:ascii="宋体" w:hAnsi="宋体" w:eastAsia="宋体" w:cs="宋体"/>
          <w:sz w:val="28"/>
          <w:szCs w:val="28"/>
          <w:u w:val="single"/>
          <w:lang w:val="en-US" w:eastAsia="zh-CN"/>
        </w:rPr>
        <w:t xml:space="preserve"> 9% </w:t>
      </w:r>
      <w:r>
        <w:rPr>
          <w:rFonts w:hint="eastAsia" w:ascii="宋体" w:hAnsi="宋体" w:eastAsia="宋体" w:cs="宋体"/>
          <w:sz w:val="28"/>
          <w:szCs w:val="28"/>
          <w:lang w:val="en-US" w:eastAsia="zh-CN"/>
        </w:rPr>
        <w:t>的有效增值税发票，乙方出具的发票不符合合同约定或甲方要求的，甲方有权拒付合同款项。</w:t>
      </w:r>
    </w:p>
    <w:p w14:paraId="2A1D1785">
      <w:pPr>
        <w:pStyle w:val="19"/>
        <w:keepNext w:val="0"/>
        <w:keepLines w:val="0"/>
        <w:pageBreakBefore w:val="0"/>
        <w:widowControl w:val="0"/>
        <w:kinsoku/>
        <w:wordWrap/>
        <w:overflowPunct/>
        <w:topLinePunct w:val="0"/>
        <w:bidi w:val="0"/>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二、投标单位要求</w:t>
      </w:r>
    </w:p>
    <w:p w14:paraId="5921D447">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1、提供经年检合格的工商行政管理部门核发的企业法人营业执照，具有独立法人资格。</w:t>
      </w:r>
    </w:p>
    <w:p w14:paraId="64C704B0">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2、同时提供住房与城乡建设管理委员会颁发的建筑工程总承包三级及以个资质。</w:t>
      </w:r>
    </w:p>
    <w:p w14:paraId="51DE872E">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eastAsia" w:hAnsi="宋体" w:cs="宋体"/>
          <w:sz w:val="28"/>
          <w:szCs w:val="28"/>
          <w:lang w:val="en-US" w:eastAsia="zh-CN"/>
        </w:rPr>
        <w:t>、</w:t>
      </w:r>
      <w:r>
        <w:rPr>
          <w:rFonts w:hint="eastAsia" w:ascii="宋体" w:hAnsi="宋体" w:eastAsia="宋体" w:cs="宋体"/>
          <w:sz w:val="28"/>
          <w:szCs w:val="28"/>
          <w:lang w:val="en-US" w:eastAsia="zh-CN"/>
        </w:rPr>
        <w:t>近3年内经营及相关活动中无不良记录。</w:t>
      </w:r>
    </w:p>
    <w:p w14:paraId="3FE26B36">
      <w:pPr>
        <w:pStyle w:val="19"/>
        <w:keepNext w:val="0"/>
        <w:keepLines w:val="0"/>
        <w:pageBreakBefore w:val="0"/>
        <w:widowControl w:val="0"/>
        <w:kinsoku/>
        <w:wordWrap/>
        <w:overflowPunct/>
        <w:topLinePunct w:val="0"/>
        <w:bidi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r>
        <w:rPr>
          <w:rFonts w:hint="eastAsia" w:hAnsi="宋体" w:cs="宋体"/>
          <w:sz w:val="28"/>
          <w:szCs w:val="28"/>
          <w:lang w:val="en-US" w:eastAsia="zh-CN"/>
        </w:rPr>
        <w:t>、</w:t>
      </w:r>
      <w:r>
        <w:rPr>
          <w:rFonts w:hint="eastAsia" w:ascii="宋体" w:hAnsi="宋体" w:eastAsia="宋体" w:cs="宋体"/>
          <w:sz w:val="28"/>
          <w:szCs w:val="28"/>
          <w:lang w:val="en-US" w:eastAsia="zh-CN"/>
        </w:rPr>
        <w:t>提交中国裁判文书网犯罪记录查询。</w:t>
      </w:r>
    </w:p>
    <w:p w14:paraId="0ECB4972">
      <w:pPr>
        <w:pStyle w:val="19"/>
        <w:keepNext w:val="0"/>
        <w:keepLines w:val="0"/>
        <w:pageBreakBefore w:val="0"/>
        <w:widowControl w:val="0"/>
        <w:kinsoku/>
        <w:wordWrap/>
        <w:overflowPunct/>
        <w:topLinePunct w:val="0"/>
        <w:bidi w:val="0"/>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三、投标文件要求</w:t>
      </w:r>
    </w:p>
    <w:p w14:paraId="0976123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1、参与单位的营业执照、资质及法人证书等。</w:t>
      </w:r>
    </w:p>
    <w:p w14:paraId="46E06CEA">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2、回复文件（内容主要为报价、服务承诺、方案、类似业绩、项目经理简历等）。</w:t>
      </w:r>
    </w:p>
    <w:p w14:paraId="3B96B338">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 xml:space="preserve">3、中国裁判文书网（https://wenshu.court.gov.cn/）犯罪记录查询截图纸质版。查询方式：高级检索→全文检索“（单位名称）”，案由选择“刑事案由”或案件类型选择“刑事案件”。        </w:t>
      </w:r>
    </w:p>
    <w:p w14:paraId="48B39588">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4、同一个项目发现两家或者两家以上的报名单位，其单位法人、股东及受益人为同一人，则上述单位的投标文件作废，并列入我院黑名单。</w:t>
      </w:r>
    </w:p>
    <w:p w14:paraId="7D7C369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5、本次评议的过程中所发生的一切费用由参与单位自行承担，中标单位需支付专家评审费用人民币5000元整。</w:t>
      </w:r>
    </w:p>
    <w:p w14:paraId="1B3EF800">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zh-CN" w:eastAsia="zh-CN" w:bidi="ar-SA"/>
        </w:rPr>
      </w:pPr>
      <w:r>
        <w:rPr>
          <w:rFonts w:hint="eastAsia" w:ascii="宋体" w:hAnsi="宋体" w:eastAsia="宋体" w:cs="宋体"/>
          <w:color w:val="000000"/>
          <w:sz w:val="28"/>
          <w:szCs w:val="28"/>
          <w:lang w:val="en-US" w:eastAsia="zh-CN" w:bidi="ar-SA"/>
        </w:rPr>
        <w:t>6、投标文件都不得采用活页夹，要求逐页标注连续页码，否则，招标人对由于投标文件装订松散而造成的丢失或其他后果不承担任何责任。</w:t>
      </w:r>
    </w:p>
    <w:p w14:paraId="6719AC12">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7、递交的纸质投标书应正本1份副本2份，电子版投标文件word、pdf（盖章扫描件）格式各一份（用U盘储存），一并装入投标文件袋内，并在封口处加盖单位公章或投标专用章的骑缝章。</w:t>
      </w:r>
    </w:p>
    <w:p w14:paraId="1DF9D69F">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p>
    <w:p w14:paraId="47ED08D3">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提交时间：2026年9月14日下午16:30之前</w:t>
      </w:r>
    </w:p>
    <w:p w14:paraId="4EC2F9E5">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提交地点：高科西路2699号后勤保障部</w:t>
      </w:r>
    </w:p>
    <w:p w14:paraId="3D852B96">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p>
    <w:p w14:paraId="72209A95">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宋体" w:hAnsi="宋体" w:eastAsia="宋体" w:cs="宋体"/>
          <w:color w:val="000000"/>
          <w:sz w:val="28"/>
          <w:szCs w:val="28"/>
          <w:lang w:val="en-US" w:eastAsia="zh-CN" w:bidi="ar-SA"/>
        </w:rPr>
      </w:pPr>
    </w:p>
    <w:p w14:paraId="70942991">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4200" w:firstLineChars="1500"/>
        <w:jc w:val="center"/>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上海市第一妇婴保健院后勤保障部</w:t>
      </w:r>
    </w:p>
    <w:p w14:paraId="2A00B044">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4200" w:firstLineChars="1500"/>
        <w:jc w:val="center"/>
        <w:textAlignment w:val="baseline"/>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t>2026年9月10日</w:t>
      </w:r>
    </w:p>
    <w:p w14:paraId="7D26E2FD">
      <w:pPr>
        <w:rPr>
          <w:rFonts w:hint="eastAsia" w:ascii="宋体" w:hAnsi="宋体" w:eastAsia="宋体" w:cs="宋体"/>
          <w:color w:val="000000"/>
          <w:sz w:val="28"/>
          <w:szCs w:val="28"/>
          <w:lang w:val="en-US" w:eastAsia="zh-CN" w:bidi="ar-SA"/>
        </w:rPr>
      </w:pPr>
      <w:r>
        <w:rPr>
          <w:rFonts w:hint="eastAsia" w:ascii="宋体" w:hAnsi="宋体" w:eastAsia="宋体" w:cs="宋体"/>
          <w:color w:val="000000"/>
          <w:sz w:val="28"/>
          <w:szCs w:val="28"/>
          <w:lang w:val="en-US" w:eastAsia="zh-CN" w:bidi="ar-SA"/>
        </w:rPr>
        <w:br w:type="page"/>
      </w:r>
    </w:p>
    <w:p w14:paraId="4AC0CB5C">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0" w:firstLineChars="0"/>
        <w:jc w:val="both"/>
        <w:textAlignment w:val="baseline"/>
        <w:rPr>
          <w:rFonts w:hint="eastAsia"/>
          <w:spacing w:val="-2"/>
          <w:w w:val="110"/>
          <w:sz w:val="24"/>
          <w:lang w:val="en-US" w:eastAsia="zh-CN"/>
        </w:rPr>
      </w:pPr>
      <w:r>
        <w:rPr>
          <w:rFonts w:hint="eastAsia"/>
          <w:spacing w:val="-2"/>
          <w:w w:val="110"/>
          <w:sz w:val="24"/>
          <w:lang w:val="en-US" w:eastAsia="zh-CN"/>
        </w:rPr>
        <w:t>附件：</w:t>
      </w:r>
    </w:p>
    <w:p w14:paraId="71FDC357">
      <w:pPr>
        <w:pStyle w:val="19"/>
        <w:keepNext w:val="0"/>
        <w:keepLines w:val="0"/>
        <w:pageBreakBefore w:val="0"/>
        <w:widowControl w:val="0"/>
        <w:kinsoku/>
        <w:wordWrap/>
        <w:overflowPunct/>
        <w:topLinePunct w:val="0"/>
        <w:bidi w:val="0"/>
        <w:spacing w:line="360" w:lineRule="auto"/>
        <w:jc w:val="both"/>
        <w:textAlignment w:val="auto"/>
        <w:rPr>
          <w:rFonts w:hint="default" w:hAnsi="宋体" w:cs="宋体"/>
          <w:color w:val="0000FF"/>
          <w:sz w:val="28"/>
          <w:szCs w:val="28"/>
          <w:lang w:val="en-US" w:eastAsia="zh-CN"/>
        </w:rPr>
      </w:pPr>
      <w:r>
        <w:rPr>
          <w:spacing w:val="-2"/>
          <w:w w:val="110"/>
          <w:sz w:val="24"/>
        </w:rPr>
        <w:drawing>
          <wp:inline distT="0" distB="0" distL="0" distR="0">
            <wp:extent cx="8375650" cy="5446395"/>
            <wp:effectExtent l="0" t="0" r="190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rot="16200000">
                      <a:off x="0" y="0"/>
                      <a:ext cx="8375650" cy="5446395"/>
                    </a:xfrm>
                    <a:prstGeom prst="rect">
                      <a:avLst/>
                    </a:prstGeom>
                  </pic:spPr>
                </pic:pic>
              </a:graphicData>
            </a:graphic>
          </wp:inline>
        </w:drawing>
      </w:r>
    </w:p>
    <w:sectPr>
      <w:footerReference r:id="rId3"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59177">
    <w:pPr>
      <w:spacing w:after="60" w:line="360" w:lineRule="auto"/>
      <w:jc w:val="center"/>
    </w:pPr>
    <w:r>
      <w:rPr>
        <w:color w:val="999999"/>
        <w:sz w:val="18"/>
        <w:szCs w:val="18"/>
      </w:rPr>
      <w:t xml:space="preserve">— </w:t>
    </w:r>
    <w:r>
      <w:rPr>
        <w:color w:val="999999"/>
        <w:sz w:val="18"/>
        <w:szCs w:val="18"/>
      </w:rPr>
      <w:fldChar w:fldCharType="begin"/>
    </w:r>
    <w:r>
      <w:rPr>
        <w:color w:val="999999"/>
        <w:sz w:val="18"/>
        <w:szCs w:val="18"/>
      </w:rPr>
      <w:instrText xml:space="preserve">PAGE</w:instrText>
    </w:r>
    <w:r>
      <w:rPr>
        <w:color w:val="999999"/>
        <w:sz w:val="18"/>
        <w:szCs w:val="18"/>
      </w:rPr>
      <w:fldChar w:fldCharType="separate"/>
    </w:r>
    <w:r>
      <w:rPr>
        <w:color w:val="999999"/>
        <w:sz w:val="18"/>
        <w:szCs w:val="18"/>
      </w:rPr>
      <w:fldChar w:fldCharType="end"/>
    </w:r>
    <w:r>
      <w:rPr>
        <w:color w:val="999999"/>
        <w:sz w:val="18"/>
        <w:szCs w:val="1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144C74B6"/>
    <w:rsid w:val="3A1E635D"/>
    <w:rsid w:val="3C642B38"/>
    <w:rsid w:val="6ADA5212"/>
    <w:rsid w:val="76905A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333333"/>
      <w:sz w:val="28"/>
      <w:szCs w:val="28"/>
    </w:rPr>
  </w:style>
  <w:style w:type="paragraph" w:styleId="3">
    <w:name w:val="heading 1"/>
    <w:next w:val="1"/>
    <w:qFormat/>
    <w:uiPriority w:val="0"/>
    <w:pPr>
      <w:keepNext/>
      <w:keepLines/>
      <w:widowControl/>
      <w:spacing w:before="200" w:after="120"/>
      <w:outlineLvl w:val="0"/>
    </w:pPr>
    <w:rPr>
      <w:rFonts w:ascii="Times New Roman" w:hAnsi="Times New Roman" w:eastAsia="黑体" w:cs="Times New Roman"/>
      <w:b/>
      <w:bCs/>
      <w:color w:val="2B579A"/>
      <w:sz w:val="36"/>
      <w:szCs w:val="36"/>
    </w:rPr>
  </w:style>
  <w:style w:type="paragraph" w:styleId="4">
    <w:name w:val="heading 2"/>
    <w:next w:val="1"/>
    <w:qFormat/>
    <w:uiPriority w:val="0"/>
    <w:pPr>
      <w:keepNext/>
      <w:keepLines/>
      <w:widowControl/>
      <w:spacing w:before="200" w:after="120"/>
      <w:outlineLvl w:val="1"/>
    </w:pPr>
    <w:rPr>
      <w:rFonts w:ascii="Times New Roman" w:hAnsi="Times New Roman" w:eastAsia="黑体" w:cs="Times New Roman"/>
      <w:b/>
      <w:bCs/>
      <w:color w:val="2B579A"/>
      <w:sz w:val="28"/>
      <w:szCs w:val="28"/>
    </w:rPr>
  </w:style>
  <w:style w:type="paragraph" w:styleId="5">
    <w:name w:val="heading 3"/>
    <w:next w:val="1"/>
    <w:qFormat/>
    <w:uiPriority w:val="0"/>
    <w:pPr>
      <w:keepNext/>
      <w:keepLines/>
      <w:widowControl/>
      <w:spacing w:before="200" w:after="120"/>
      <w:outlineLvl w:val="2"/>
    </w:pPr>
    <w:rPr>
      <w:rFonts w:ascii="Times New Roman" w:hAnsi="Times New Roman" w:eastAsia="黑体" w:cs="Times New Roman"/>
      <w:b/>
      <w:bCs/>
      <w:color w:val="2B579A"/>
      <w:sz w:val="28"/>
      <w:szCs w:val="28"/>
    </w:rPr>
  </w:style>
  <w:style w:type="paragraph" w:styleId="6">
    <w:name w:val="heading 4"/>
    <w:next w:val="1"/>
    <w:qFormat/>
    <w:uiPriority w:val="0"/>
    <w:pPr>
      <w:keepNext/>
      <w:keepLines/>
      <w:widowControl/>
      <w:spacing w:before="200" w:after="120"/>
      <w:outlineLvl w:val="3"/>
    </w:pPr>
    <w:rPr>
      <w:rFonts w:ascii="Times New Roman" w:hAnsi="Times New Roman" w:eastAsia="黑体" w:cs="Times New Roman"/>
      <w:b/>
      <w:bCs/>
      <w:color w:val="2B579A"/>
      <w:sz w:val="24"/>
      <w:szCs w:val="24"/>
    </w:rPr>
  </w:style>
  <w:style w:type="paragraph" w:styleId="7">
    <w:name w:val="heading 5"/>
    <w:next w:val="1"/>
    <w:qFormat/>
    <w:uiPriority w:val="0"/>
    <w:pPr>
      <w:widowControl/>
    </w:pPr>
    <w:rPr>
      <w:rFonts w:ascii="Times New Roman" w:hAnsi="Times New Roman" w:eastAsia="宋体" w:cs="Times New Roman"/>
      <w:color w:val="2E74B5"/>
      <w:sz w:val="28"/>
      <w:szCs w:val="28"/>
    </w:rPr>
  </w:style>
  <w:style w:type="paragraph" w:styleId="2">
    <w:name w:val="heading 6"/>
    <w:basedOn w:val="1"/>
    <w:next w:val="1"/>
    <w:qFormat/>
    <w:uiPriority w:val="0"/>
    <w:pPr>
      <w:widowControl/>
    </w:pPr>
    <w:rPr>
      <w:rFonts w:ascii="Times New Roman" w:hAnsi="Times New Roman" w:eastAsia="宋体" w:cs="Times New Roman"/>
      <w:color w:val="1F4D78"/>
      <w:sz w:val="28"/>
      <w:szCs w:val="28"/>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widowControl/>
      <w:spacing w:after="0" w:line="240" w:lineRule="auto"/>
    </w:pPr>
    <w:rPr>
      <w:rFonts w:ascii="Times New Roman" w:hAnsi="Times New Roman" w:eastAsia="宋体" w:cs="Times New Roman"/>
      <w:color w:val="333333"/>
      <w:sz w:val="20"/>
      <w:szCs w:val="20"/>
    </w:rPr>
  </w:style>
  <w:style w:type="paragraph" w:styleId="9">
    <w:name w:val="footnote text"/>
    <w:link w:val="17"/>
    <w:semiHidden/>
    <w:unhideWhenUsed/>
    <w:qFormat/>
    <w:uiPriority w:val="99"/>
    <w:pPr>
      <w:widowControl/>
      <w:spacing w:after="0" w:line="240" w:lineRule="auto"/>
    </w:pPr>
    <w:rPr>
      <w:rFonts w:ascii="Times New Roman" w:hAnsi="Times New Roman" w:eastAsia="宋体" w:cs="Times New Roman"/>
      <w:color w:val="333333"/>
      <w:sz w:val="20"/>
      <w:szCs w:val="20"/>
    </w:rPr>
  </w:style>
  <w:style w:type="paragraph" w:styleId="10">
    <w:name w:val="Title"/>
    <w:qFormat/>
    <w:uiPriority w:val="0"/>
    <w:pPr>
      <w:widowControl/>
    </w:pPr>
    <w:rPr>
      <w:rFonts w:ascii="Times New Roman" w:hAnsi="Times New Roman" w:eastAsia="宋体" w:cs="Times New Roman"/>
      <w:color w:val="333333"/>
      <w:sz w:val="56"/>
      <w:szCs w:val="56"/>
    </w:rPr>
  </w:style>
  <w:style w:type="character" w:styleId="13">
    <w:name w:val="endnote reference"/>
    <w:semiHidden/>
    <w:unhideWhenUsed/>
    <w:qFormat/>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pPr>
      <w:widowControl/>
    </w:pPr>
    <w:rPr>
      <w:rFonts w:ascii="Times New Roman" w:hAnsi="Times New Roman" w:eastAsia="宋体" w:cs="Times New Roman"/>
      <w:color w:val="333333"/>
      <w:sz w:val="28"/>
      <w:szCs w:val="28"/>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585</Words>
  <Characters>614</Characters>
  <TotalTime>2</TotalTime>
  <ScaleCrop>false</ScaleCrop>
  <LinksUpToDate>false</LinksUpToDate>
  <CharactersWithSpaces>618</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2026-09-09T07:48:00Z</dcterms:created>
  <dc:creator>Un-named</dc:creator>
  <cp:lastModifiedBy>HImiGo</cp:lastModifiedBy>
  <dcterms:modified xsi:type="dcterms:W3CDTF">2026-09-10T06:24:30Z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eyJoZGlkIjoiMzAwNzU1MmJiYzVmNGI3NzNlNjNlZTY3Mzc5NDFkNzAiLCJ1c2VySWQiOiIzMDg3MTg4NzgifQ==</vt:lpwstr>
  </property>
  <property fmtid="{D5CDD505-2E9C-101B-9397-08002B2CF9AE}" pid="3" name="KSOProductBuildVer">
    <vt:lpwstr>2052-12.1.0.28505</vt:lpwstr>
  </property>
  <property fmtid="{D5CDD505-2E9C-101B-9397-08002B2CF9AE}" pid="4" name="ICV">
    <vt:lpwstr>1B1C146C2266479FBEEF8E7220E68B72_12</vt:lpwstr>
  </property>
</Properties>
</file>