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92253">
      <w:pPr>
        <w:spacing w:line="32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上海市第一妇婴保健院</w:t>
      </w:r>
    </w:p>
    <w:p w14:paraId="0BF124FF">
      <w:pPr>
        <w:spacing w:line="320" w:lineRule="exact"/>
        <w:jc w:val="center"/>
        <w:rPr>
          <w:rFonts w:asciiTheme="majorEastAsia" w:hAnsiTheme="majorEastAsia" w:eastAsiaTheme="majorEastAsia" w:cstheme="majorEastAsia"/>
          <w:b/>
          <w:bCs/>
          <w:sz w:val="32"/>
          <w:szCs w:val="32"/>
        </w:rPr>
      </w:pPr>
    </w:p>
    <w:p w14:paraId="5BD93694">
      <w:pPr>
        <w:spacing w:line="320" w:lineRule="exact"/>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东院隔油池污水污物清运服务服务项目询价要求</w:t>
      </w:r>
    </w:p>
    <w:p w14:paraId="6DB4848C">
      <w:pPr>
        <w:spacing w:line="320" w:lineRule="exact"/>
        <w:rPr>
          <w:rFonts w:asciiTheme="majorEastAsia" w:hAnsiTheme="majorEastAsia" w:eastAsiaTheme="majorEastAsia" w:cstheme="majorEastAsia"/>
          <w:sz w:val="24"/>
        </w:rPr>
      </w:pPr>
    </w:p>
    <w:p w14:paraId="0F350325">
      <w:pPr>
        <w:spacing w:line="460" w:lineRule="exact"/>
        <w:ind w:left="1243" w:leftChars="133" w:hanging="964" w:hangingChars="300"/>
        <w:jc w:val="center"/>
        <w:rPr>
          <w:rFonts w:ascii="宋体" w:hAnsi="宋体"/>
          <w:b/>
          <w:bCs/>
          <w:sz w:val="32"/>
          <w:szCs w:val="32"/>
        </w:rPr>
      </w:pPr>
    </w:p>
    <w:p w14:paraId="20B5AF5A">
      <w:pPr>
        <w:spacing w:line="460" w:lineRule="exact"/>
        <w:ind w:left="1243" w:leftChars="133" w:hanging="964" w:hangingChars="300"/>
        <w:jc w:val="left"/>
        <w:rPr>
          <w:rFonts w:ascii="宋体" w:hAnsi="宋体"/>
          <w:b/>
          <w:bCs/>
          <w:sz w:val="32"/>
          <w:szCs w:val="32"/>
        </w:rPr>
      </w:pPr>
    </w:p>
    <w:p w14:paraId="4A343A52">
      <w:pPr>
        <w:spacing w:line="460" w:lineRule="exact"/>
        <w:jc w:val="left"/>
        <w:rPr>
          <w:rFonts w:ascii="宋体"/>
          <w:b/>
          <w:bCs/>
          <w:sz w:val="24"/>
          <w:lang w:val="zh-CN"/>
        </w:rPr>
      </w:pPr>
      <w:r>
        <w:rPr>
          <w:rFonts w:hint="eastAsia" w:ascii="宋体"/>
          <w:b/>
          <w:bCs/>
          <w:sz w:val="24"/>
          <w:lang w:val="zh-CN"/>
        </w:rPr>
        <w:t>一、投标方须知：</w:t>
      </w:r>
    </w:p>
    <w:p w14:paraId="3F24E670">
      <w:pPr>
        <w:numPr>
          <w:ilvl w:val="0"/>
          <w:numId w:val="1"/>
        </w:numPr>
        <w:spacing w:line="460" w:lineRule="exact"/>
        <w:jc w:val="left"/>
        <w:rPr>
          <w:rFonts w:ascii="宋体"/>
          <w:sz w:val="24"/>
          <w:lang w:val="zh-CN"/>
        </w:rPr>
      </w:pPr>
      <w:r>
        <w:rPr>
          <w:rFonts w:hint="eastAsia" w:ascii="宋体"/>
          <w:sz w:val="24"/>
          <w:lang w:val="zh-CN"/>
        </w:rPr>
        <w:t>本项目不收取投标保证金；</w:t>
      </w:r>
    </w:p>
    <w:p w14:paraId="7D2C6C0C">
      <w:pPr>
        <w:numPr>
          <w:ilvl w:val="0"/>
          <w:numId w:val="1"/>
        </w:numPr>
        <w:spacing w:line="460" w:lineRule="exact"/>
        <w:jc w:val="left"/>
        <w:rPr>
          <w:rFonts w:ascii="宋体"/>
          <w:sz w:val="24"/>
          <w:lang w:val="zh-CN"/>
        </w:rPr>
      </w:pPr>
      <w:r>
        <w:rPr>
          <w:rFonts w:hint="eastAsia" w:ascii="宋体"/>
          <w:sz w:val="24"/>
        </w:rPr>
        <w:t>投标文件都不得采用活页夹，并要求逐页标注连续页码，否则，招标人对由于投标文件装订松散而造成的丢失或其他后果不承担任何责任；</w:t>
      </w:r>
    </w:p>
    <w:p w14:paraId="054649F7">
      <w:pPr>
        <w:numPr>
          <w:ilvl w:val="0"/>
          <w:numId w:val="1"/>
        </w:numPr>
        <w:spacing w:line="460" w:lineRule="exact"/>
        <w:jc w:val="left"/>
        <w:rPr>
          <w:rFonts w:ascii="宋体" w:hAnsi="宋体"/>
          <w:sz w:val="24"/>
        </w:rPr>
      </w:pPr>
      <w:r>
        <w:rPr>
          <w:rFonts w:hint="eastAsia" w:ascii="宋体"/>
          <w:color w:val="000000"/>
          <w:sz w:val="24"/>
          <w:lang w:val="zh-CN"/>
        </w:rPr>
        <w:t>投标有效期：</w:t>
      </w:r>
      <w:r>
        <w:rPr>
          <w:rFonts w:ascii="宋体"/>
          <w:color w:val="000000"/>
          <w:sz w:val="24"/>
          <w:lang w:val="zh-CN"/>
        </w:rPr>
        <w:t>90</w:t>
      </w:r>
      <w:r>
        <w:rPr>
          <w:rFonts w:hint="eastAsia" w:ascii="宋体"/>
          <w:color w:val="000000"/>
          <w:sz w:val="24"/>
          <w:lang w:val="zh-CN"/>
        </w:rPr>
        <w:t>天；</w:t>
      </w:r>
    </w:p>
    <w:p w14:paraId="12783AE3">
      <w:pPr>
        <w:numPr>
          <w:ilvl w:val="0"/>
          <w:numId w:val="1"/>
        </w:numPr>
        <w:spacing w:line="460" w:lineRule="exact"/>
        <w:jc w:val="left"/>
        <w:rPr>
          <w:rFonts w:ascii="宋体" w:hAnsi="宋体"/>
          <w:sz w:val="24"/>
        </w:rPr>
      </w:pPr>
      <w:r>
        <w:rPr>
          <w:rFonts w:hint="eastAsia" w:ascii="宋体" w:hAnsi="宋体"/>
          <w:sz w:val="24"/>
        </w:rPr>
        <w:t>投标截止时间：</w:t>
      </w:r>
      <w:r>
        <w:rPr>
          <w:rFonts w:hint="eastAsia" w:ascii="宋体"/>
          <w:sz w:val="24"/>
        </w:rPr>
        <w:t>202</w:t>
      </w:r>
      <w:r>
        <w:rPr>
          <w:rFonts w:hint="eastAsia" w:ascii="宋体"/>
          <w:sz w:val="24"/>
          <w:lang w:val="en-US" w:eastAsia="zh-CN"/>
        </w:rPr>
        <w:t>6</w:t>
      </w:r>
      <w:r>
        <w:rPr>
          <w:rFonts w:hint="eastAsia" w:ascii="宋体"/>
          <w:sz w:val="24"/>
        </w:rPr>
        <w:t>年</w:t>
      </w:r>
      <w:r>
        <w:rPr>
          <w:rFonts w:hint="eastAsia" w:ascii="宋体"/>
          <w:sz w:val="24"/>
          <w:lang w:val="en-US" w:eastAsia="zh-CN"/>
        </w:rPr>
        <w:t>4</w:t>
      </w:r>
      <w:r>
        <w:rPr>
          <w:rFonts w:hint="eastAsia" w:ascii="宋体"/>
          <w:sz w:val="24"/>
        </w:rPr>
        <w:t>月</w:t>
      </w:r>
      <w:r>
        <w:rPr>
          <w:rFonts w:hint="eastAsia" w:ascii="宋体"/>
          <w:sz w:val="24"/>
          <w:lang w:val="en-US" w:eastAsia="zh-CN"/>
        </w:rPr>
        <w:t>30</w:t>
      </w:r>
      <w:r>
        <w:rPr>
          <w:rFonts w:hint="eastAsia" w:ascii="宋体"/>
          <w:sz w:val="24"/>
        </w:rPr>
        <w:t>日上午9：00整</w:t>
      </w:r>
      <w:r>
        <w:rPr>
          <w:rFonts w:hint="eastAsia" w:ascii="宋体" w:hAnsi="宋体"/>
          <w:sz w:val="24"/>
        </w:rPr>
        <w:t>止(北京时间)；</w:t>
      </w:r>
      <w:r>
        <w:rPr>
          <w:rFonts w:ascii="宋体" w:hAnsi="宋体"/>
          <w:sz w:val="24"/>
        </w:rPr>
        <w:t xml:space="preserve"> </w:t>
      </w:r>
    </w:p>
    <w:p w14:paraId="6C2B0F4E">
      <w:pPr>
        <w:numPr>
          <w:ilvl w:val="0"/>
          <w:numId w:val="1"/>
        </w:numPr>
        <w:spacing w:line="460" w:lineRule="exact"/>
        <w:jc w:val="left"/>
        <w:rPr>
          <w:rFonts w:ascii="宋体" w:hAnsi="宋体"/>
          <w:sz w:val="24"/>
        </w:rPr>
      </w:pPr>
      <w:r>
        <w:rPr>
          <w:rFonts w:hint="eastAsia" w:ascii="宋体" w:hAnsi="宋体"/>
          <w:sz w:val="24"/>
        </w:rPr>
        <w:t>投标文件递交至：上海市第一妇婴保健院后勤保障部，浦东新区</w:t>
      </w:r>
      <w:r>
        <w:rPr>
          <w:rFonts w:hint="eastAsia" w:ascii="宋体"/>
          <w:sz w:val="24"/>
        </w:rPr>
        <w:t>沪南路550号</w:t>
      </w:r>
      <w:r>
        <w:rPr>
          <w:rFonts w:hint="eastAsia" w:ascii="宋体"/>
          <w:sz w:val="24"/>
          <w:lang w:val="en-US" w:eastAsia="zh-CN"/>
        </w:rPr>
        <w:t>科研楼212</w:t>
      </w:r>
      <w:r>
        <w:rPr>
          <w:rFonts w:hint="eastAsia" w:ascii="宋体"/>
          <w:sz w:val="24"/>
        </w:rPr>
        <w:t>办公室；或快递至：上海市</w:t>
      </w:r>
      <w:r>
        <w:rPr>
          <w:rFonts w:hint="eastAsia" w:ascii="宋体"/>
          <w:sz w:val="24"/>
          <w:lang w:val="zh-CN"/>
        </w:rPr>
        <w:t>浦东新区沪南路550号，</w:t>
      </w:r>
      <w:r>
        <w:rPr>
          <w:rFonts w:hint="eastAsia" w:ascii="宋体"/>
          <w:sz w:val="24"/>
          <w:lang w:val="en-US" w:eastAsia="zh-CN"/>
        </w:rPr>
        <w:t>科研楼212</w:t>
      </w:r>
      <w:r>
        <w:rPr>
          <w:rFonts w:hint="eastAsia" w:ascii="宋体"/>
          <w:sz w:val="24"/>
        </w:rPr>
        <w:t>办公室</w:t>
      </w:r>
      <w:r>
        <w:rPr>
          <w:rFonts w:hint="eastAsia" w:ascii="宋体"/>
          <w:sz w:val="24"/>
          <w:lang w:val="zh-CN"/>
        </w:rPr>
        <w:t>，黄工收，</w:t>
      </w:r>
      <w:r>
        <w:rPr>
          <w:rFonts w:hint="eastAsia" w:ascii="宋体"/>
          <w:sz w:val="24"/>
        </w:rPr>
        <w:t>20261306；</w:t>
      </w:r>
    </w:p>
    <w:p w14:paraId="64C96077">
      <w:pPr>
        <w:numPr>
          <w:ilvl w:val="0"/>
          <w:numId w:val="1"/>
        </w:numPr>
        <w:spacing w:line="460" w:lineRule="exact"/>
        <w:jc w:val="left"/>
        <w:rPr>
          <w:rFonts w:ascii="宋体"/>
          <w:sz w:val="24"/>
        </w:rPr>
      </w:pPr>
      <w:r>
        <w:rPr>
          <w:rFonts w:hint="eastAsia" w:ascii="宋体"/>
          <w:sz w:val="24"/>
        </w:rPr>
        <w:t>投标所需材料：公司三证、各类资质文件、业绩业务、</w:t>
      </w:r>
      <w:r>
        <w:rPr>
          <w:rFonts w:hint="eastAsia" w:ascii="宋体"/>
          <w:b/>
          <w:bCs/>
          <w:sz w:val="24"/>
        </w:rPr>
        <w:t>中国裁判文书网</w:t>
      </w:r>
      <w:r>
        <w:rPr>
          <w:rFonts w:hint="eastAsia" w:ascii="宋体"/>
          <w:sz w:val="24"/>
        </w:rPr>
        <w:t>的单位无犯罪记录截屏、投标清单、所有材料需加盖公章，所有材料需一式三份；</w:t>
      </w:r>
    </w:p>
    <w:p w14:paraId="7B03A663">
      <w:pPr>
        <w:numPr>
          <w:ilvl w:val="0"/>
          <w:numId w:val="1"/>
        </w:numPr>
        <w:spacing w:line="460" w:lineRule="exact"/>
        <w:jc w:val="left"/>
        <w:rPr>
          <w:rFonts w:ascii="宋体"/>
          <w:sz w:val="24"/>
        </w:rPr>
      </w:pPr>
      <w:r>
        <w:rPr>
          <w:rFonts w:hint="eastAsia" w:ascii="宋体"/>
          <w:sz w:val="24"/>
        </w:rPr>
        <w:t>包装要求：所有文件须统一放入不透明文件袋，并封死所有开口，且在缝隙四周处盖上骑缝章。</w:t>
      </w:r>
    </w:p>
    <w:p w14:paraId="384E1465">
      <w:pPr>
        <w:spacing w:line="460" w:lineRule="exact"/>
        <w:jc w:val="left"/>
        <w:rPr>
          <w:rFonts w:ascii="宋体" w:hAnsi="宋体"/>
          <w:b/>
          <w:bCs/>
          <w:sz w:val="24"/>
        </w:rPr>
      </w:pPr>
    </w:p>
    <w:p w14:paraId="627661C3">
      <w:pPr>
        <w:spacing w:line="460" w:lineRule="exact"/>
        <w:jc w:val="left"/>
        <w:rPr>
          <w:rFonts w:ascii="宋体" w:hAnsi="宋体"/>
          <w:b/>
          <w:bCs/>
          <w:sz w:val="24"/>
        </w:rPr>
      </w:pPr>
      <w:r>
        <w:rPr>
          <w:rFonts w:hint="eastAsia" w:ascii="宋体" w:hAnsi="宋体"/>
          <w:b/>
          <w:bCs/>
          <w:sz w:val="24"/>
        </w:rPr>
        <w:t>二、投标人资格要求：</w:t>
      </w:r>
    </w:p>
    <w:p w14:paraId="1946A4EF">
      <w:pPr>
        <w:spacing w:line="460" w:lineRule="exact"/>
        <w:ind w:firstLine="240" w:firstLineChars="100"/>
        <w:jc w:val="left"/>
        <w:rPr>
          <w:rFonts w:ascii="宋体" w:hAnsi="宋体"/>
          <w:sz w:val="24"/>
        </w:rPr>
      </w:pPr>
      <w:r>
        <w:rPr>
          <w:rFonts w:hint="eastAsia" w:ascii="宋体" w:hAnsi="宋体"/>
          <w:sz w:val="24"/>
        </w:rPr>
        <w:t>投标方有年检合格的工商行政管理部门核发的企业法人营业执照，具有独立法人资格和相应的经营范围。</w:t>
      </w:r>
    </w:p>
    <w:p w14:paraId="01B1DE36">
      <w:pPr>
        <w:spacing w:line="460" w:lineRule="exact"/>
        <w:ind w:firstLine="240" w:firstLineChars="100"/>
        <w:jc w:val="left"/>
        <w:rPr>
          <w:rFonts w:ascii="宋体" w:hAnsi="宋体"/>
          <w:sz w:val="24"/>
        </w:rPr>
      </w:pPr>
      <w:r>
        <w:rPr>
          <w:rFonts w:hint="eastAsia" w:ascii="宋体" w:hAnsi="宋体"/>
          <w:sz w:val="24"/>
        </w:rPr>
        <w:t>投标方应至少在1年内有类似项目服务经验，提供合同复印件。</w:t>
      </w:r>
    </w:p>
    <w:p w14:paraId="0BABD29C">
      <w:pPr>
        <w:spacing w:line="460" w:lineRule="exact"/>
        <w:ind w:firstLine="240" w:firstLineChars="100"/>
        <w:jc w:val="left"/>
        <w:rPr>
          <w:rFonts w:ascii="宋体" w:hAnsi="宋体"/>
          <w:sz w:val="24"/>
        </w:rPr>
      </w:pPr>
      <w:r>
        <w:rPr>
          <w:rFonts w:hint="eastAsia" w:ascii="宋体" w:hAnsi="宋体"/>
          <w:sz w:val="24"/>
        </w:rPr>
        <w:t>投标人在近三年内的经营及相关活动中无不良记录（未被列入失信被执行人、重大税收违法案件当事人名单、政府采购严重违法失信行为记录名单）。</w:t>
      </w:r>
    </w:p>
    <w:p w14:paraId="32BDB594">
      <w:pPr>
        <w:spacing w:line="460" w:lineRule="exact"/>
        <w:ind w:firstLine="240" w:firstLineChars="100"/>
        <w:jc w:val="left"/>
        <w:rPr>
          <w:rFonts w:hint="eastAsia" w:ascii="宋体" w:hAnsi="宋体"/>
          <w:sz w:val="24"/>
        </w:rPr>
      </w:pPr>
      <w:r>
        <w:rPr>
          <w:rFonts w:hint="eastAsia" w:ascii="宋体" w:hAnsi="宋体"/>
          <w:sz w:val="24"/>
        </w:rPr>
        <w:t>本项目不接受联合体投标。</w:t>
      </w:r>
    </w:p>
    <w:p w14:paraId="3B806B13">
      <w:pPr>
        <w:spacing w:line="460" w:lineRule="exact"/>
        <w:ind w:firstLine="240" w:firstLineChars="100"/>
        <w:jc w:val="left"/>
        <w:rPr>
          <w:rFonts w:hint="eastAsia" w:ascii="宋体" w:hAnsi="宋体"/>
          <w:sz w:val="24"/>
        </w:rPr>
      </w:pPr>
    </w:p>
    <w:p w14:paraId="032A910F">
      <w:pPr>
        <w:spacing w:line="460" w:lineRule="exact"/>
        <w:ind w:firstLine="240" w:firstLineChars="100"/>
        <w:jc w:val="left"/>
        <w:rPr>
          <w:rFonts w:hint="eastAsia" w:ascii="宋体" w:hAnsi="宋体"/>
          <w:sz w:val="24"/>
        </w:rPr>
      </w:pPr>
    </w:p>
    <w:p w14:paraId="29F0E5A4">
      <w:pPr>
        <w:spacing w:line="460" w:lineRule="exact"/>
        <w:ind w:firstLine="240" w:firstLineChars="100"/>
        <w:jc w:val="left"/>
        <w:rPr>
          <w:rFonts w:hint="eastAsia" w:ascii="宋体" w:hAnsi="宋体"/>
          <w:sz w:val="24"/>
        </w:rPr>
      </w:pPr>
    </w:p>
    <w:p w14:paraId="6BA854A0">
      <w:pPr>
        <w:spacing w:line="460" w:lineRule="exact"/>
        <w:ind w:firstLine="240" w:firstLineChars="100"/>
        <w:jc w:val="left"/>
        <w:rPr>
          <w:rFonts w:hint="eastAsia" w:ascii="宋体" w:hAnsi="宋体"/>
          <w:sz w:val="24"/>
        </w:rPr>
      </w:pPr>
    </w:p>
    <w:p w14:paraId="4EE4E35F">
      <w:pPr>
        <w:spacing w:line="480" w:lineRule="auto"/>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上海市第一妇婴保健院</w:t>
      </w:r>
    </w:p>
    <w:p w14:paraId="63BEAC13">
      <w:pPr>
        <w:spacing w:line="480" w:lineRule="auto"/>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东院</w:t>
      </w:r>
      <w:r>
        <w:rPr>
          <w:rFonts w:hint="eastAsia" w:ascii="楷体_GB2312" w:hAnsi="楷体_GB2312" w:eastAsia="楷体_GB2312" w:cs="楷体_GB2312"/>
          <w:b/>
          <w:bCs/>
          <w:sz w:val="32"/>
          <w:szCs w:val="32"/>
        </w:rPr>
        <w:t>隔油池污水污物清运服务项目报价表</w:t>
      </w:r>
    </w:p>
    <w:p w14:paraId="0720A000">
      <w:pPr>
        <w:spacing w:line="320" w:lineRule="exact"/>
        <w:rPr>
          <w:rFonts w:hint="eastAsia" w:ascii="楷体_GB2312" w:hAnsi="楷体_GB2312" w:eastAsia="楷体_GB2312" w:cs="楷体_GB2312"/>
          <w:sz w:val="24"/>
        </w:rPr>
      </w:pPr>
    </w:p>
    <w:p w14:paraId="5F12ABC2">
      <w:pPr>
        <w:spacing w:line="320" w:lineRule="exact"/>
        <w:rPr>
          <w:rFonts w:hint="eastAsia" w:ascii="楷体_GB2312" w:hAnsi="楷体_GB2312" w:eastAsia="楷体_GB2312" w:cs="楷体_GB2312"/>
          <w:sz w:val="24"/>
        </w:rPr>
      </w:pPr>
    </w:p>
    <w:p w14:paraId="7707C2F8">
      <w:pPr>
        <w:spacing w:line="320" w:lineRule="exact"/>
        <w:rPr>
          <w:rFonts w:hint="eastAsia" w:ascii="楷体_GB2312" w:hAnsi="楷体_GB2312" w:eastAsia="楷体_GB2312" w:cs="楷体_GB2312"/>
          <w:sz w:val="24"/>
        </w:rPr>
      </w:pPr>
    </w:p>
    <w:tbl>
      <w:tblPr>
        <w:tblStyle w:val="4"/>
        <w:tblW w:w="8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2551"/>
        <w:gridCol w:w="1276"/>
        <w:gridCol w:w="1105"/>
        <w:gridCol w:w="1255"/>
        <w:gridCol w:w="1255"/>
      </w:tblGrid>
      <w:tr w14:paraId="40A3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419" w:type="dxa"/>
            <w:noWrap w:val="0"/>
            <w:vAlign w:val="center"/>
          </w:tcPr>
          <w:p w14:paraId="64FD2CAA">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服务项目</w:t>
            </w:r>
          </w:p>
        </w:tc>
        <w:tc>
          <w:tcPr>
            <w:tcW w:w="2551" w:type="dxa"/>
            <w:noWrap w:val="0"/>
            <w:vAlign w:val="center"/>
          </w:tcPr>
          <w:p w14:paraId="04A6B6AF">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摘要</w:t>
            </w:r>
          </w:p>
        </w:tc>
        <w:tc>
          <w:tcPr>
            <w:tcW w:w="1276" w:type="dxa"/>
            <w:noWrap w:val="0"/>
            <w:vAlign w:val="center"/>
          </w:tcPr>
          <w:p w14:paraId="13D27CD4">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单价（元）</w:t>
            </w:r>
          </w:p>
        </w:tc>
        <w:tc>
          <w:tcPr>
            <w:tcW w:w="1105" w:type="dxa"/>
            <w:tcBorders>
              <w:right w:val="single" w:color="auto" w:sz="4" w:space="0"/>
            </w:tcBorders>
            <w:noWrap w:val="0"/>
            <w:vAlign w:val="center"/>
          </w:tcPr>
          <w:p w14:paraId="437C69ED">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数量</w:t>
            </w:r>
          </w:p>
        </w:tc>
        <w:tc>
          <w:tcPr>
            <w:tcW w:w="1255" w:type="dxa"/>
            <w:tcBorders>
              <w:left w:val="single" w:color="auto" w:sz="4" w:space="0"/>
            </w:tcBorders>
            <w:noWrap w:val="0"/>
            <w:vAlign w:val="center"/>
          </w:tcPr>
          <w:p w14:paraId="64B5C648">
            <w:pPr>
              <w:pStyle w:val="8"/>
              <w:ind w:firstLine="0" w:firstLineChars="0"/>
              <w:rPr>
                <w:rFonts w:ascii="华文楷体" w:hAnsi="华文楷体" w:eastAsia="华文楷体"/>
                <w:sz w:val="24"/>
                <w:szCs w:val="24"/>
              </w:rPr>
            </w:pPr>
            <w:r>
              <w:rPr>
                <w:rFonts w:ascii="华文楷体" w:hAnsi="华文楷体" w:eastAsia="华文楷体"/>
                <w:sz w:val="24"/>
                <w:szCs w:val="24"/>
              </w:rPr>
              <w:t>频率（次</w:t>
            </w:r>
            <w:r>
              <w:rPr>
                <w:rFonts w:hint="eastAsia" w:ascii="华文楷体" w:hAnsi="华文楷体" w:eastAsia="华文楷体"/>
                <w:sz w:val="24"/>
                <w:szCs w:val="24"/>
              </w:rPr>
              <w:t>/年</w:t>
            </w:r>
            <w:r>
              <w:rPr>
                <w:rFonts w:ascii="华文楷体" w:hAnsi="华文楷体" w:eastAsia="华文楷体"/>
                <w:sz w:val="24"/>
                <w:szCs w:val="24"/>
              </w:rPr>
              <w:t>）</w:t>
            </w:r>
          </w:p>
        </w:tc>
        <w:tc>
          <w:tcPr>
            <w:tcW w:w="1255" w:type="dxa"/>
            <w:noWrap w:val="0"/>
            <w:vAlign w:val="center"/>
          </w:tcPr>
          <w:p w14:paraId="31F75094">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总金额（元）</w:t>
            </w:r>
            <w:r>
              <w:rPr>
                <w:rFonts w:hint="eastAsia" w:ascii="华文楷体" w:hAnsi="华文楷体" w:eastAsia="华文楷体"/>
                <w:sz w:val="24"/>
                <w:szCs w:val="24"/>
              </w:rPr>
              <w:t xml:space="preserve"> </w:t>
            </w:r>
          </w:p>
        </w:tc>
      </w:tr>
      <w:tr w14:paraId="5622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419" w:type="dxa"/>
            <w:noWrap w:val="0"/>
            <w:vAlign w:val="center"/>
          </w:tcPr>
          <w:p w14:paraId="3CBDF744">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清运费</w:t>
            </w:r>
          </w:p>
        </w:tc>
        <w:tc>
          <w:tcPr>
            <w:tcW w:w="2551" w:type="dxa"/>
            <w:noWrap w:val="0"/>
            <w:vAlign w:val="center"/>
          </w:tcPr>
          <w:p w14:paraId="6A19CA9C">
            <w:pPr>
              <w:pStyle w:val="8"/>
              <w:ind w:firstLine="0" w:firstLineChars="0"/>
              <w:jc w:val="center"/>
              <w:rPr>
                <w:rFonts w:hint="eastAsia" w:ascii="华文楷体" w:hAnsi="华文楷体" w:eastAsia="华文楷体"/>
                <w:sz w:val="24"/>
                <w:szCs w:val="24"/>
              </w:rPr>
            </w:pPr>
            <w:r>
              <w:rPr>
                <w:rFonts w:hint="eastAsia" w:ascii="华文楷体" w:hAnsi="华文楷体" w:eastAsia="华文楷体"/>
                <w:sz w:val="24"/>
                <w:szCs w:val="24"/>
              </w:rPr>
              <w:t>隔油池污水污物外运</w:t>
            </w:r>
          </w:p>
        </w:tc>
        <w:tc>
          <w:tcPr>
            <w:tcW w:w="1276" w:type="dxa"/>
            <w:noWrap w:val="0"/>
            <w:vAlign w:val="center"/>
          </w:tcPr>
          <w:p w14:paraId="13AE72C0">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 xml:space="preserve"> </w:t>
            </w:r>
          </w:p>
        </w:tc>
        <w:tc>
          <w:tcPr>
            <w:tcW w:w="1105" w:type="dxa"/>
            <w:tcBorders>
              <w:right w:val="single" w:color="auto" w:sz="4" w:space="0"/>
            </w:tcBorders>
            <w:noWrap w:val="0"/>
            <w:vAlign w:val="center"/>
          </w:tcPr>
          <w:p w14:paraId="0C582E3B">
            <w:pPr>
              <w:pStyle w:val="8"/>
              <w:ind w:firstLine="0" w:firstLineChars="0"/>
              <w:jc w:val="center"/>
              <w:rPr>
                <w:rFonts w:hint="eastAsia" w:ascii="华文楷体" w:hAnsi="华文楷体" w:eastAsia="华文楷体"/>
                <w:sz w:val="24"/>
                <w:szCs w:val="24"/>
              </w:rPr>
            </w:pPr>
            <w:r>
              <w:rPr>
                <w:rFonts w:ascii="华文楷体" w:hAnsi="华文楷体" w:eastAsia="华文楷体"/>
                <w:sz w:val="24"/>
                <w:szCs w:val="24"/>
              </w:rPr>
              <w:t xml:space="preserve"> </w:t>
            </w:r>
          </w:p>
        </w:tc>
        <w:tc>
          <w:tcPr>
            <w:tcW w:w="1255" w:type="dxa"/>
            <w:tcBorders>
              <w:left w:val="single" w:color="auto" w:sz="4" w:space="0"/>
            </w:tcBorders>
            <w:noWrap w:val="0"/>
            <w:vAlign w:val="center"/>
          </w:tcPr>
          <w:p w14:paraId="58F5DD52">
            <w:pPr>
              <w:pStyle w:val="8"/>
              <w:ind w:firstLine="240" w:firstLineChars="100"/>
              <w:jc w:val="center"/>
              <w:rPr>
                <w:rFonts w:ascii="华文楷体" w:hAnsi="华文楷体" w:eastAsia="华文楷体"/>
                <w:sz w:val="24"/>
                <w:szCs w:val="24"/>
              </w:rPr>
            </w:pPr>
            <w:r>
              <w:rPr>
                <w:rFonts w:ascii="华文楷体" w:hAnsi="华文楷体" w:eastAsia="华文楷体"/>
                <w:sz w:val="24"/>
                <w:szCs w:val="24"/>
              </w:rPr>
              <w:t>360</w:t>
            </w:r>
          </w:p>
        </w:tc>
        <w:tc>
          <w:tcPr>
            <w:tcW w:w="1255" w:type="dxa"/>
            <w:noWrap w:val="0"/>
            <w:vAlign w:val="center"/>
          </w:tcPr>
          <w:p w14:paraId="74673B24">
            <w:pPr>
              <w:pStyle w:val="8"/>
              <w:ind w:firstLine="0" w:firstLineChars="0"/>
              <w:jc w:val="center"/>
              <w:rPr>
                <w:rFonts w:ascii="华文楷体" w:hAnsi="华文楷体" w:eastAsia="华文楷体"/>
                <w:sz w:val="24"/>
                <w:szCs w:val="24"/>
              </w:rPr>
            </w:pPr>
            <w:r>
              <w:rPr>
                <w:rFonts w:ascii="华文楷体" w:hAnsi="华文楷体" w:eastAsia="华文楷体"/>
                <w:sz w:val="24"/>
                <w:szCs w:val="24"/>
              </w:rPr>
              <w:t xml:space="preserve"> </w:t>
            </w:r>
          </w:p>
        </w:tc>
      </w:tr>
      <w:tr w14:paraId="22D9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419" w:type="dxa"/>
            <w:noWrap w:val="0"/>
            <w:vAlign w:val="center"/>
          </w:tcPr>
          <w:p w14:paraId="5FCF4D9C">
            <w:pPr>
              <w:pStyle w:val="8"/>
              <w:ind w:firstLine="0" w:firstLineChars="0"/>
              <w:jc w:val="center"/>
              <w:rPr>
                <w:rFonts w:ascii="华文楷体" w:hAnsi="华文楷体" w:eastAsia="华文楷体"/>
                <w:sz w:val="24"/>
                <w:szCs w:val="24"/>
              </w:rPr>
            </w:pPr>
          </w:p>
        </w:tc>
        <w:tc>
          <w:tcPr>
            <w:tcW w:w="2551" w:type="dxa"/>
            <w:noWrap w:val="0"/>
            <w:vAlign w:val="center"/>
          </w:tcPr>
          <w:p w14:paraId="4A09C6BB">
            <w:pPr>
              <w:pStyle w:val="8"/>
              <w:ind w:firstLine="0" w:firstLineChars="0"/>
              <w:jc w:val="center"/>
              <w:rPr>
                <w:rFonts w:ascii="华文楷体" w:hAnsi="华文楷体" w:eastAsia="华文楷体"/>
                <w:sz w:val="24"/>
                <w:szCs w:val="24"/>
              </w:rPr>
            </w:pPr>
          </w:p>
        </w:tc>
        <w:tc>
          <w:tcPr>
            <w:tcW w:w="1276" w:type="dxa"/>
            <w:noWrap w:val="0"/>
            <w:vAlign w:val="center"/>
          </w:tcPr>
          <w:p w14:paraId="4303D4C3">
            <w:pPr>
              <w:pStyle w:val="8"/>
              <w:ind w:firstLine="0" w:firstLineChars="0"/>
              <w:jc w:val="center"/>
              <w:rPr>
                <w:rFonts w:ascii="华文楷体" w:hAnsi="华文楷体" w:eastAsia="华文楷体"/>
                <w:sz w:val="24"/>
                <w:szCs w:val="24"/>
              </w:rPr>
            </w:pPr>
          </w:p>
        </w:tc>
        <w:tc>
          <w:tcPr>
            <w:tcW w:w="1105" w:type="dxa"/>
            <w:tcBorders>
              <w:right w:val="single" w:color="auto" w:sz="4" w:space="0"/>
            </w:tcBorders>
            <w:noWrap w:val="0"/>
            <w:vAlign w:val="center"/>
          </w:tcPr>
          <w:p w14:paraId="322ECC92">
            <w:pPr>
              <w:pStyle w:val="8"/>
              <w:ind w:firstLine="0" w:firstLineChars="0"/>
              <w:jc w:val="center"/>
              <w:rPr>
                <w:rFonts w:ascii="华文楷体" w:hAnsi="华文楷体" w:eastAsia="华文楷体"/>
                <w:sz w:val="24"/>
                <w:szCs w:val="24"/>
              </w:rPr>
            </w:pPr>
          </w:p>
        </w:tc>
        <w:tc>
          <w:tcPr>
            <w:tcW w:w="1255" w:type="dxa"/>
            <w:tcBorders>
              <w:left w:val="single" w:color="auto" w:sz="4" w:space="0"/>
            </w:tcBorders>
            <w:noWrap w:val="0"/>
            <w:vAlign w:val="center"/>
          </w:tcPr>
          <w:p w14:paraId="4740BB24">
            <w:pPr>
              <w:pStyle w:val="8"/>
              <w:ind w:firstLine="240" w:firstLineChars="100"/>
              <w:jc w:val="center"/>
              <w:rPr>
                <w:rFonts w:ascii="华文楷体" w:hAnsi="华文楷体" w:eastAsia="华文楷体"/>
                <w:sz w:val="24"/>
                <w:szCs w:val="24"/>
              </w:rPr>
            </w:pPr>
          </w:p>
        </w:tc>
        <w:tc>
          <w:tcPr>
            <w:tcW w:w="1255" w:type="dxa"/>
            <w:noWrap w:val="0"/>
            <w:vAlign w:val="center"/>
          </w:tcPr>
          <w:p w14:paraId="39C7DDC4">
            <w:pPr>
              <w:pStyle w:val="8"/>
              <w:ind w:firstLine="0" w:firstLineChars="0"/>
              <w:jc w:val="center"/>
              <w:rPr>
                <w:rFonts w:hint="eastAsia" w:ascii="华文楷体" w:hAnsi="华文楷体" w:eastAsia="华文楷体"/>
                <w:sz w:val="24"/>
                <w:szCs w:val="24"/>
              </w:rPr>
            </w:pPr>
          </w:p>
        </w:tc>
      </w:tr>
      <w:tr w14:paraId="47EF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419" w:type="dxa"/>
            <w:noWrap w:val="0"/>
            <w:vAlign w:val="center"/>
          </w:tcPr>
          <w:p w14:paraId="21B5751D">
            <w:pPr>
              <w:pStyle w:val="8"/>
              <w:ind w:firstLine="0" w:firstLineChars="0"/>
              <w:jc w:val="center"/>
              <w:rPr>
                <w:rFonts w:ascii="华文楷体" w:hAnsi="华文楷体" w:eastAsia="华文楷体"/>
                <w:sz w:val="24"/>
                <w:szCs w:val="24"/>
              </w:rPr>
            </w:pPr>
          </w:p>
        </w:tc>
        <w:tc>
          <w:tcPr>
            <w:tcW w:w="2551" w:type="dxa"/>
            <w:noWrap w:val="0"/>
            <w:vAlign w:val="center"/>
          </w:tcPr>
          <w:p w14:paraId="3A745C1F">
            <w:pPr>
              <w:pStyle w:val="8"/>
              <w:ind w:firstLine="0" w:firstLineChars="0"/>
              <w:jc w:val="center"/>
              <w:rPr>
                <w:rFonts w:ascii="华文楷体" w:hAnsi="华文楷体" w:eastAsia="华文楷体"/>
                <w:sz w:val="24"/>
                <w:szCs w:val="24"/>
              </w:rPr>
            </w:pPr>
          </w:p>
        </w:tc>
        <w:tc>
          <w:tcPr>
            <w:tcW w:w="1276" w:type="dxa"/>
            <w:noWrap w:val="0"/>
            <w:vAlign w:val="center"/>
          </w:tcPr>
          <w:p w14:paraId="770B8D42">
            <w:pPr>
              <w:pStyle w:val="8"/>
              <w:ind w:firstLine="0" w:firstLineChars="0"/>
              <w:jc w:val="center"/>
              <w:rPr>
                <w:rFonts w:ascii="华文楷体" w:hAnsi="华文楷体" w:eastAsia="华文楷体"/>
                <w:sz w:val="24"/>
                <w:szCs w:val="24"/>
              </w:rPr>
            </w:pPr>
          </w:p>
        </w:tc>
        <w:tc>
          <w:tcPr>
            <w:tcW w:w="1105" w:type="dxa"/>
            <w:tcBorders>
              <w:right w:val="single" w:color="auto" w:sz="4" w:space="0"/>
            </w:tcBorders>
            <w:noWrap w:val="0"/>
            <w:vAlign w:val="center"/>
          </w:tcPr>
          <w:p w14:paraId="798A99E2">
            <w:pPr>
              <w:pStyle w:val="8"/>
              <w:ind w:firstLine="0" w:firstLineChars="0"/>
              <w:jc w:val="center"/>
              <w:rPr>
                <w:rFonts w:ascii="华文楷体" w:hAnsi="华文楷体" w:eastAsia="华文楷体"/>
                <w:sz w:val="24"/>
                <w:szCs w:val="24"/>
              </w:rPr>
            </w:pPr>
          </w:p>
        </w:tc>
        <w:tc>
          <w:tcPr>
            <w:tcW w:w="1255" w:type="dxa"/>
            <w:tcBorders>
              <w:left w:val="single" w:color="auto" w:sz="4" w:space="0"/>
            </w:tcBorders>
            <w:noWrap w:val="0"/>
            <w:vAlign w:val="center"/>
          </w:tcPr>
          <w:p w14:paraId="4A1C46B0">
            <w:pPr>
              <w:pStyle w:val="8"/>
              <w:ind w:firstLine="240" w:firstLineChars="100"/>
              <w:jc w:val="center"/>
              <w:rPr>
                <w:rFonts w:ascii="华文楷体" w:hAnsi="华文楷体" w:eastAsia="华文楷体"/>
                <w:sz w:val="24"/>
                <w:szCs w:val="24"/>
              </w:rPr>
            </w:pPr>
          </w:p>
        </w:tc>
        <w:tc>
          <w:tcPr>
            <w:tcW w:w="1255" w:type="dxa"/>
            <w:noWrap w:val="0"/>
            <w:vAlign w:val="center"/>
          </w:tcPr>
          <w:p w14:paraId="106323FE">
            <w:pPr>
              <w:pStyle w:val="8"/>
              <w:ind w:firstLine="0" w:firstLineChars="0"/>
              <w:jc w:val="center"/>
              <w:rPr>
                <w:rFonts w:hint="eastAsia" w:ascii="华文楷体" w:hAnsi="华文楷体" w:eastAsia="华文楷体"/>
                <w:sz w:val="24"/>
                <w:szCs w:val="24"/>
              </w:rPr>
            </w:pPr>
          </w:p>
        </w:tc>
      </w:tr>
      <w:tr w14:paraId="3E82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861" w:type="dxa"/>
            <w:gridSpan w:val="6"/>
            <w:noWrap w:val="0"/>
            <w:vAlign w:val="center"/>
          </w:tcPr>
          <w:p w14:paraId="0D55F569">
            <w:pPr>
              <w:pStyle w:val="8"/>
              <w:ind w:firstLine="0" w:firstLineChars="0"/>
              <w:jc w:val="left"/>
              <w:rPr>
                <w:rFonts w:hint="eastAsia" w:ascii="华文楷体" w:hAnsi="华文楷体" w:eastAsia="华文楷体"/>
                <w:b/>
                <w:sz w:val="24"/>
                <w:szCs w:val="24"/>
              </w:rPr>
            </w:pPr>
            <w:r>
              <w:rPr>
                <w:rFonts w:hint="eastAsia" w:ascii="华文楷体" w:hAnsi="华文楷体" w:eastAsia="华文楷体"/>
                <w:b/>
                <w:sz w:val="24"/>
                <w:szCs w:val="24"/>
              </w:rPr>
              <w:t xml:space="preserve"> </w:t>
            </w:r>
          </w:p>
        </w:tc>
      </w:tr>
    </w:tbl>
    <w:p w14:paraId="4558FAF0">
      <w:pPr>
        <w:spacing w:line="460" w:lineRule="exact"/>
        <w:ind w:firstLine="560" w:firstLineChars="200"/>
        <w:rPr>
          <w:rFonts w:hint="eastAsia" w:ascii="楷体_GB2312" w:hAnsi="楷体_GB2312" w:eastAsia="楷体_GB2312" w:cs="楷体_GB2312"/>
          <w:sz w:val="28"/>
          <w:szCs w:val="28"/>
        </w:rPr>
      </w:pPr>
    </w:p>
    <w:p w14:paraId="3D91A5DE">
      <w:pPr>
        <w:numPr>
          <w:ilvl w:val="0"/>
          <w:numId w:val="2"/>
        </w:numPr>
        <w:spacing w:line="460" w:lineRule="exact"/>
        <w:ind w:firstLine="560" w:firstLineChars="200"/>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根据2019年上海市政府颁发的《上海生活垃圾分类管理条例》，《中华人民共和国固体废物污染环境防治法》对垃圾分类对废弃物无害化处理和资源的重新利用。甲方每日派专用车至甲方东院清运隔油池污水污物，进行无害化处理。</w:t>
      </w:r>
    </w:p>
    <w:p w14:paraId="322E91D7">
      <w:pPr>
        <w:numPr>
          <w:ilvl w:val="0"/>
          <w:numId w:val="2"/>
        </w:numPr>
        <w:spacing w:line="460" w:lineRule="exact"/>
        <w:ind w:firstLine="560" w:firstLineChars="200"/>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eastAsia="zh-CN"/>
        </w:rPr>
        <w:t>合同总期数为2年，一年一签。</w:t>
      </w:r>
    </w:p>
    <w:p w14:paraId="76100744">
      <w:pPr>
        <w:spacing w:line="460" w:lineRule="exact"/>
        <w:ind w:firstLine="240" w:firstLineChars="100"/>
        <w:jc w:val="left"/>
        <w:rPr>
          <w:rFonts w:hint="eastAsia" w:ascii="宋体" w:hAnsi="宋体"/>
          <w:sz w:val="24"/>
        </w:rPr>
      </w:pPr>
      <w:bookmarkStart w:id="0" w:name="_GoBack"/>
      <w:bookmarkEnd w:id="0"/>
    </w:p>
    <w:p w14:paraId="5193FE7F"/>
    <w:p w14:paraId="49845A19"/>
    <w:p w14:paraId="7523C520">
      <w:pPr>
        <w:spacing w:line="460" w:lineRule="exact"/>
        <w:jc w:val="right"/>
        <w:rPr>
          <w:rFonts w:hint="eastAsia" w:ascii="宋体"/>
          <w:b/>
          <w:bCs/>
          <w:sz w:val="24"/>
          <w:lang w:val="en-US" w:eastAsia="zh-CN"/>
        </w:rPr>
      </w:pPr>
      <w:r>
        <w:rPr>
          <w:rFonts w:hint="eastAsia" w:ascii="宋体"/>
          <w:b/>
          <w:bCs/>
          <w:sz w:val="24"/>
          <w:lang w:val="en-US" w:eastAsia="zh-CN"/>
        </w:rPr>
        <w:t>上海市第一妇婴保健院</w:t>
      </w:r>
    </w:p>
    <w:p w14:paraId="379201E9">
      <w:pPr>
        <w:spacing w:line="460" w:lineRule="exact"/>
        <w:jc w:val="right"/>
        <w:rPr>
          <w:rFonts w:hint="eastAsia" w:ascii="宋体"/>
          <w:b/>
          <w:bCs/>
          <w:sz w:val="24"/>
          <w:lang w:val="en-US" w:eastAsia="zh-CN"/>
        </w:rPr>
      </w:pPr>
      <w:r>
        <w:rPr>
          <w:rFonts w:hint="eastAsia" w:ascii="宋体"/>
          <w:b/>
          <w:bCs/>
          <w:sz w:val="24"/>
          <w:lang w:val="en-US" w:eastAsia="zh-CN"/>
        </w:rPr>
        <w:t>后勤保障部</w:t>
      </w:r>
    </w:p>
    <w:p w14:paraId="137167DC">
      <w:pPr>
        <w:spacing w:line="460" w:lineRule="exact"/>
        <w:jc w:val="right"/>
        <w:rPr>
          <w:rFonts w:hint="default" w:ascii="宋体"/>
          <w:b/>
          <w:bCs/>
          <w:sz w:val="24"/>
          <w:lang w:val="en-US" w:eastAsia="zh-CN"/>
        </w:rPr>
      </w:pPr>
      <w:r>
        <w:rPr>
          <w:rFonts w:hint="eastAsia" w:ascii="宋体"/>
          <w:b/>
          <w:bCs/>
          <w:sz w:val="24"/>
          <w:lang w:val="en-US" w:eastAsia="zh-CN"/>
        </w:rPr>
        <w:t>2026年4月24日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90FFD"/>
    <w:multiLevelType w:val="singleLevel"/>
    <w:tmpl w:val="97A90FFD"/>
    <w:lvl w:ilvl="0" w:tentative="0">
      <w:start w:val="1"/>
      <w:numFmt w:val="chineseCounting"/>
      <w:suff w:val="nothing"/>
      <w:lvlText w:val="%1、"/>
      <w:lvlJc w:val="left"/>
      <w:rPr>
        <w:rFonts w:hint="eastAsia"/>
      </w:rPr>
    </w:lvl>
  </w:abstractNum>
  <w:abstractNum w:abstractNumId="1">
    <w:nsid w:val="DC0BE177"/>
    <w:multiLevelType w:val="singleLevel"/>
    <w:tmpl w:val="DC0BE17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mNlOGJmMTgxN2I4ZWMyODJkYTc2NDlhZjMxMjcifQ=="/>
  </w:docVars>
  <w:rsids>
    <w:rsidRoot w:val="069210B6"/>
    <w:rsid w:val="00236429"/>
    <w:rsid w:val="009843D7"/>
    <w:rsid w:val="009E35E8"/>
    <w:rsid w:val="011B64D6"/>
    <w:rsid w:val="069210B6"/>
    <w:rsid w:val="2B1623FD"/>
    <w:rsid w:val="399A59C7"/>
    <w:rsid w:val="3D844A92"/>
    <w:rsid w:val="47A60A95"/>
    <w:rsid w:val="4F623668"/>
    <w:rsid w:val="65923942"/>
    <w:rsid w:val="7BEA7283"/>
    <w:rsid w:val="7D4A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Calibri" w:hAnsi="Calibri" w:eastAsia="宋体" w:cs="Times New Roman"/>
      <w:kern w:val="2"/>
      <w:sz w:val="18"/>
      <w:szCs w:val="18"/>
    </w:rPr>
  </w:style>
  <w:style w:type="character" w:customStyle="1" w:styleId="7">
    <w:name w:val="页脚 Char"/>
    <w:basedOn w:val="5"/>
    <w:link w:val="2"/>
    <w:autoRedefine/>
    <w:qFormat/>
    <w:uiPriority w:val="0"/>
    <w:rPr>
      <w:rFonts w:ascii="Calibri" w:hAnsi="Calibri" w:eastAsia="宋体" w:cs="Times New Roman"/>
      <w:kern w:val="2"/>
      <w:sz w:val="18"/>
      <w:szCs w:val="18"/>
    </w:rPr>
  </w:style>
  <w:style w:type="paragraph" w:styleId="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674</Words>
  <Characters>700</Characters>
  <Lines>3</Lines>
  <Paragraphs>1</Paragraphs>
  <TotalTime>4</TotalTime>
  <ScaleCrop>false</ScaleCrop>
  <LinksUpToDate>false</LinksUpToDate>
  <CharactersWithSpaces>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2021-06-09T02:40:00Z</dcterms:created>
  <dc:creator>黄瀛珠--崇明的猫</dc:creator>
  <cp:lastModifiedBy>TonGe</cp:lastModifiedBy>
  <dcterms:modified xsi:type="dcterms:W3CDTF">2026-04-24T00:51:04Z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06A993BD8BE2485E970230D4843A8265</vt:lpwstr>
  </property>
  <property fmtid="{D5CDD505-2E9C-101B-9397-08002B2CF9AE}" pid="4" name="KSOTemplateDocerSaveRecord">
    <vt:lpwstr>eyJoZGlkIjoiYTgxZjk4OWZlOTY4MDJhZDQ1Yjc3NzcxYWRjZDg2YmEiLCJ1c2VySWQiOiIxMTUwMDA2MzA4In0=</vt:lpwstr>
  </property>
</Properties>
</file>