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90B">
      <w:pPr>
        <w:spacing w:line="360" w:lineRule="auto"/>
        <w:jc w:val="center"/>
        <w:rPr>
          <w:rFonts w:hint="eastAsia" w:ascii="宋体" w:hAnsi="宋体" w:cstheme="majorEastAsia"/>
          <w:b/>
          <w:bCs/>
          <w:color w:val="auto"/>
          <w:sz w:val="32"/>
          <w:szCs w:val="32"/>
          <w:highlight w:val="none"/>
        </w:rPr>
      </w:pPr>
      <w:r>
        <w:rPr>
          <w:rFonts w:hint="eastAsia" w:ascii="宋体" w:hAnsi="宋体" w:cstheme="majorEastAsia"/>
          <w:b/>
          <w:bCs/>
          <w:color w:val="auto"/>
          <w:sz w:val="32"/>
          <w:szCs w:val="32"/>
          <w:highlight w:val="none"/>
        </w:rPr>
        <w:t>上海市第一妇婴保健院</w:t>
      </w:r>
      <w:r>
        <w:rPr>
          <w:rFonts w:hint="eastAsia" w:ascii="宋体" w:hAnsi="宋体" w:cstheme="majorEastAsia"/>
          <w:b/>
          <w:bCs/>
          <w:color w:val="auto"/>
          <w:sz w:val="32"/>
          <w:szCs w:val="32"/>
          <w:highlight w:val="none"/>
          <w:lang w:val="en-US" w:eastAsia="zh-CN"/>
        </w:rPr>
        <w:t>西</w:t>
      </w:r>
      <w:r>
        <w:rPr>
          <w:rFonts w:hint="eastAsia" w:ascii="宋体" w:hAnsi="宋体" w:cstheme="majorEastAsia"/>
          <w:b/>
          <w:bCs/>
          <w:color w:val="auto"/>
          <w:sz w:val="32"/>
          <w:szCs w:val="32"/>
          <w:highlight w:val="none"/>
        </w:rPr>
        <w:t>院电梯维保服务项目</w:t>
      </w:r>
    </w:p>
    <w:p w14:paraId="5AD997D1">
      <w:pPr>
        <w:spacing w:line="360" w:lineRule="auto"/>
        <w:jc w:val="center"/>
        <w:rPr>
          <w:rFonts w:ascii="宋体" w:hAnsi="宋体" w:cstheme="majorEastAsia"/>
          <w:b/>
          <w:bCs/>
          <w:color w:val="auto"/>
          <w:sz w:val="32"/>
          <w:szCs w:val="32"/>
          <w:highlight w:val="none"/>
        </w:rPr>
      </w:pPr>
      <w:r>
        <w:rPr>
          <w:rFonts w:hint="eastAsia" w:ascii="宋体" w:hAnsi="宋体" w:cstheme="majorEastAsia"/>
          <w:b/>
          <w:bCs/>
          <w:color w:val="auto"/>
          <w:sz w:val="32"/>
          <w:szCs w:val="32"/>
          <w:highlight w:val="none"/>
          <w:lang w:val="en-US" w:eastAsia="zh-CN"/>
        </w:rPr>
        <w:t>询比价</w:t>
      </w:r>
      <w:r>
        <w:rPr>
          <w:rFonts w:hint="eastAsia" w:ascii="宋体" w:hAnsi="宋体" w:cstheme="majorEastAsia"/>
          <w:b/>
          <w:bCs/>
          <w:color w:val="auto"/>
          <w:sz w:val="32"/>
          <w:szCs w:val="32"/>
          <w:highlight w:val="none"/>
        </w:rPr>
        <w:t>需求文件</w:t>
      </w:r>
    </w:p>
    <w:p w14:paraId="22283C8A">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一、招标详情</w:t>
      </w:r>
    </w:p>
    <w:p w14:paraId="797273E8">
      <w:pPr>
        <w:pStyle w:val="8"/>
        <w:numPr>
          <w:ilvl w:val="0"/>
          <w:numId w:val="0"/>
        </w:numPr>
        <w:spacing w:line="360" w:lineRule="auto"/>
        <w:ind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（1）维保范围</w:t>
      </w:r>
    </w:p>
    <w:p w14:paraId="5AC2F47F">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1.按照国家《电梯使用管理与维护保养规则》完成半月、季度、半年、年度保养项目，做好维护保养计划与方案，并记录存档。提供日常清扫、定期维护、各级保养、配合年检和紧急救援服务等。</w:t>
      </w:r>
    </w:p>
    <w:p w14:paraId="1733CCFA">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2.维保单位全面负责确保通过年检、安全运行、经济运行。</w:t>
      </w:r>
    </w:p>
    <w:p w14:paraId="66C665E3">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（2）维保人员职责</w:t>
      </w:r>
    </w:p>
    <w:p w14:paraId="57AE15B9">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1.主要加强管理电梯设备运行情况进行常规巡视检查、保养、维护等，并做好巡视记录，确保设备的安全正常运行。</w:t>
      </w:r>
    </w:p>
    <w:p w14:paraId="33099D15">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2.根据相关规范或标准要求编制现场运行规程、操作规程和事故应急方案，使运行管理标准化、规范化。</w:t>
      </w:r>
    </w:p>
    <w:p w14:paraId="26A66F47">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3.负责自动扶梯日常的启用及关闭工作。</w:t>
      </w:r>
    </w:p>
    <w:p w14:paraId="27685117">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4.负责电梯机房内及基坑的环境清洁工作。</w:t>
      </w:r>
    </w:p>
    <w:p w14:paraId="754013AC">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5.负责机房内“四防一通”（防火、防小动物、防汛、防雨雪和通风）等检查。</w:t>
      </w:r>
    </w:p>
    <w:p w14:paraId="35653A19">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（3）人员配置的原则：</w:t>
      </w:r>
    </w:p>
    <w:p w14:paraId="47BA255E">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1.需配置</w:t>
      </w:r>
      <w:r>
        <w:rPr>
          <w:rFonts w:hint="eastAsia" w:ascii="仿宋" w:hAnsi="仿宋" w:eastAsia="仿宋" w:cs="仿宋"/>
          <w:color w:val="auto"/>
          <w:kern w:val="2"/>
          <w:sz w:val="28"/>
          <w:szCs w:val="28"/>
          <w:highlight w:val="none"/>
          <w:lang w:val="en-US" w:eastAsia="zh-CN" w:bidi="ar-SA"/>
        </w:rPr>
        <w:t>维保人员</w:t>
      </w:r>
      <w:r>
        <w:rPr>
          <w:rFonts w:hint="eastAsia" w:ascii="仿宋" w:hAnsi="仿宋" w:eastAsia="仿宋" w:cs="仿宋"/>
          <w:color w:val="auto"/>
          <w:kern w:val="2"/>
          <w:sz w:val="28"/>
          <w:szCs w:val="28"/>
          <w:highlight w:val="none"/>
          <w:lang w:val="en-US" w:eastAsia="zh-CN" w:bidi="ar-SA"/>
        </w:rPr>
        <w:t>，若发生困人事件时10分钟内到达现场并启动救援，维修时段及节假日20分到现场。5小时内必须完成维修，特殊情况除外。</w:t>
      </w:r>
    </w:p>
    <w:p w14:paraId="7900FF74">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2.配置人员政治思想觉悟高，身体健康，服从领导，爱岗敬业，能自觉遵守各项规章制度。</w:t>
      </w:r>
    </w:p>
    <w:p w14:paraId="175A3C55">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3.配置人员一专多能，岗位与专业特长对口。</w:t>
      </w:r>
    </w:p>
    <w:p w14:paraId="103BCCBB">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配置技术服务人员应受专业培训合格并持有上岗证书（要求常驻人员必须有T证）或技术等级证书。其中法律法规规定应持有专业资质证书或特殊工种证书方能从事作业的岗位人员，乙方应向甲方提供该人员的资质证书复印件；</w:t>
      </w:r>
    </w:p>
    <w:p w14:paraId="24EAE250">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5.维修保养人员年龄必须身体健康、具备电梯维修资质证书；</w:t>
      </w:r>
    </w:p>
    <w:p w14:paraId="6442BED4">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6.配置人员既能承担日常运行管理工作，又能应对突发事故的处理工作。</w:t>
      </w:r>
    </w:p>
    <w:p w14:paraId="172BC3A8">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7.配置人员在院方院区内必须遵守院方制定的各项规章制度，对于违规人员院方有权要求及时更换。合同期内院方不承担中标方任何法律/人事方面的责任。</w:t>
      </w:r>
    </w:p>
    <w:p w14:paraId="10CF337D">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8.电梯、自动扶梯维保期内，维保人员</w:t>
      </w:r>
      <w:r>
        <w:rPr>
          <w:rFonts w:hint="eastAsia" w:ascii="仿宋" w:hAnsi="仿宋" w:eastAsia="仿宋" w:cs="仿宋"/>
          <w:color w:val="auto"/>
          <w:kern w:val="2"/>
          <w:sz w:val="28"/>
          <w:szCs w:val="28"/>
          <w:highlight w:val="none"/>
          <w:lang w:val="en-US" w:eastAsia="zh-CN" w:bidi="ar-SA"/>
        </w:rPr>
        <w:t>需</w:t>
      </w:r>
      <w:bookmarkStart w:id="0" w:name="_GoBack"/>
      <w:r>
        <w:rPr>
          <w:rFonts w:hint="eastAsia" w:ascii="仿宋" w:hAnsi="仿宋" w:eastAsia="仿宋" w:cs="仿宋"/>
          <w:strike w:val="0"/>
          <w:dstrike w:val="0"/>
          <w:color w:val="auto"/>
          <w:kern w:val="2"/>
          <w:sz w:val="28"/>
          <w:szCs w:val="28"/>
          <w:highlight w:val="none"/>
          <w:lang w:val="en-US" w:eastAsia="zh-CN" w:bidi="ar-SA"/>
        </w:rPr>
        <w:t>每天</w:t>
      </w:r>
      <w:r>
        <w:rPr>
          <w:rFonts w:hint="eastAsia" w:ascii="仿宋" w:hAnsi="仿宋" w:eastAsia="仿宋" w:cs="仿宋"/>
          <w:color w:val="auto"/>
          <w:kern w:val="2"/>
          <w:sz w:val="28"/>
          <w:szCs w:val="28"/>
          <w:highlight w:val="none"/>
          <w:lang w:val="en-US" w:eastAsia="zh-CN" w:bidi="ar-SA"/>
        </w:rPr>
        <w:t>对</w:t>
      </w:r>
      <w:bookmarkEnd w:id="0"/>
      <w:r>
        <w:rPr>
          <w:rFonts w:hint="eastAsia" w:ascii="仿宋" w:hAnsi="仿宋" w:eastAsia="仿宋" w:cs="仿宋"/>
          <w:color w:val="auto"/>
          <w:kern w:val="2"/>
          <w:sz w:val="28"/>
          <w:szCs w:val="28"/>
          <w:highlight w:val="none"/>
          <w:lang w:val="en-US" w:eastAsia="zh-CN" w:bidi="ar-SA"/>
        </w:rPr>
        <w:t>电梯、自动扶梯运行进行早上巡视检查、跟踪电梯、自动扶梯运行状况，发现问题及时向甲方反应并做好记录。</w:t>
      </w:r>
    </w:p>
    <w:p w14:paraId="45008D0A">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9.每月向院方提交分析报告、设备运行状况报告和月度工作报告各一份，切实做好设备安全运行管理和经济运行管理。</w:t>
      </w:r>
    </w:p>
    <w:p w14:paraId="379AC8D1">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10.中标方受院方委托在院方授权下应全权办理与特种检验所各项业务联系，包括并不限于：</w:t>
      </w:r>
    </w:p>
    <w:p w14:paraId="601236FC">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协助院方办理申请定期检验手续；</w:t>
      </w:r>
    </w:p>
    <w:p w14:paraId="70928DA3">
      <w:pPr>
        <w:pStyle w:val="2"/>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二、报价要求：</w:t>
      </w:r>
    </w:p>
    <w:p w14:paraId="47841C23">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1.报价单位报价包括电梯维保费、</w:t>
      </w:r>
      <w:r>
        <w:rPr>
          <w:rFonts w:hint="eastAsia" w:ascii="仿宋" w:hAnsi="仿宋" w:eastAsia="仿宋" w:cs="仿宋"/>
          <w:color w:val="auto"/>
          <w:kern w:val="2"/>
          <w:sz w:val="28"/>
          <w:szCs w:val="28"/>
          <w:highlight w:val="none"/>
          <w:lang w:val="en-US" w:eastAsia="zh-CN" w:bidi="ar-SA"/>
        </w:rPr>
        <w:t>限速器校验费</w:t>
      </w:r>
      <w:r>
        <w:rPr>
          <w:rFonts w:hint="eastAsia" w:ascii="仿宋" w:hAnsi="仿宋" w:eastAsia="仿宋" w:cs="仿宋"/>
          <w:color w:val="auto"/>
          <w:kern w:val="2"/>
          <w:sz w:val="28"/>
          <w:szCs w:val="28"/>
          <w:highlight w:val="none"/>
          <w:lang w:val="en-US" w:eastAsia="zh-CN" w:bidi="ar-SA"/>
        </w:rPr>
        <w:t>及年检费用。</w:t>
      </w:r>
    </w:p>
    <w:p w14:paraId="4B6BDF1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西院8台电梯</w:t>
      </w:r>
    </w:p>
    <w:tbl>
      <w:tblPr>
        <w:tblStyle w:val="9"/>
        <w:tblpPr w:leftFromText="180" w:rightFromText="180" w:vertAnchor="text" w:horzAnchor="page" w:tblpXSpec="center" w:tblpY="9"/>
        <w:tblOverlap w:val="never"/>
        <w:tblW w:w="100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94"/>
        <w:gridCol w:w="1433"/>
        <w:gridCol w:w="1333"/>
        <w:gridCol w:w="699"/>
        <w:gridCol w:w="917"/>
        <w:gridCol w:w="1452"/>
        <w:gridCol w:w="813"/>
        <w:gridCol w:w="939"/>
        <w:gridCol w:w="933"/>
      </w:tblGrid>
      <w:tr w14:paraId="5414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jc w:val="center"/>
        </w:trPr>
        <w:tc>
          <w:tcPr>
            <w:tcW w:w="540" w:type="dxa"/>
            <w:textDirection w:val="tbRlV"/>
            <w:vAlign w:val="center"/>
          </w:tcPr>
          <w:p w14:paraId="246A6864">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 号</w:t>
            </w:r>
          </w:p>
        </w:tc>
        <w:tc>
          <w:tcPr>
            <w:tcW w:w="994" w:type="dxa"/>
            <w:vAlign w:val="center"/>
          </w:tcPr>
          <w:p w14:paraId="37AC8030">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资产名称</w:t>
            </w:r>
          </w:p>
        </w:tc>
        <w:tc>
          <w:tcPr>
            <w:tcW w:w="1433" w:type="dxa"/>
            <w:vAlign w:val="center"/>
          </w:tcPr>
          <w:p w14:paraId="2DF0F6B9">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规格型号</w:t>
            </w:r>
          </w:p>
        </w:tc>
        <w:tc>
          <w:tcPr>
            <w:tcW w:w="1333" w:type="dxa"/>
            <w:vAlign w:val="center"/>
          </w:tcPr>
          <w:p w14:paraId="3FF92389">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制（建）造商</w:t>
            </w:r>
          </w:p>
          <w:p w14:paraId="65FAF730">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（全称）</w:t>
            </w:r>
          </w:p>
        </w:tc>
        <w:tc>
          <w:tcPr>
            <w:tcW w:w="699" w:type="dxa"/>
            <w:vAlign w:val="center"/>
          </w:tcPr>
          <w:p w14:paraId="51702DCC">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载重  （kg）</w:t>
            </w:r>
          </w:p>
        </w:tc>
        <w:tc>
          <w:tcPr>
            <w:tcW w:w="917" w:type="dxa"/>
            <w:vAlign w:val="center"/>
          </w:tcPr>
          <w:p w14:paraId="276FE4B8">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层/站/ 门</w:t>
            </w:r>
          </w:p>
        </w:tc>
        <w:tc>
          <w:tcPr>
            <w:tcW w:w="1452" w:type="dxa"/>
            <w:vAlign w:val="center"/>
          </w:tcPr>
          <w:p w14:paraId="23143254">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用途分类(乘 客电梯、病床 电梯、载货电 梯、杂物电  梯、 自动扶   梯、其他电  梯）</w:t>
            </w:r>
          </w:p>
        </w:tc>
        <w:tc>
          <w:tcPr>
            <w:tcW w:w="813" w:type="dxa"/>
            <w:vAlign w:val="center"/>
          </w:tcPr>
          <w:p w14:paraId="5EE1387F">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所属院区</w:t>
            </w:r>
          </w:p>
        </w:tc>
        <w:tc>
          <w:tcPr>
            <w:tcW w:w="939" w:type="dxa"/>
            <w:vAlign w:val="center"/>
          </w:tcPr>
          <w:p w14:paraId="1D77027B">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维保费</w:t>
            </w:r>
          </w:p>
          <w:p w14:paraId="68C08D7E">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（元/月）</w:t>
            </w:r>
          </w:p>
        </w:tc>
        <w:tc>
          <w:tcPr>
            <w:tcW w:w="933" w:type="dxa"/>
            <w:vAlign w:val="center"/>
          </w:tcPr>
          <w:p w14:paraId="7A6487EA">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年检费</w:t>
            </w:r>
          </w:p>
          <w:p w14:paraId="6F9743D2">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（元/年）</w:t>
            </w:r>
          </w:p>
        </w:tc>
      </w:tr>
      <w:tr w14:paraId="65D17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shd w:val="clear" w:color="auto" w:fill="auto"/>
            <w:vAlign w:val="center"/>
          </w:tcPr>
          <w:p w14:paraId="06EC3A1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994" w:type="dxa"/>
            <w:shd w:val="clear" w:color="auto" w:fill="auto"/>
            <w:vAlign w:val="center"/>
          </w:tcPr>
          <w:p w14:paraId="7E19EDB0">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shd w:val="clear" w:color="auto" w:fill="auto"/>
            <w:vAlign w:val="center"/>
          </w:tcPr>
          <w:p w14:paraId="346790DE">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shd w:val="clear" w:color="auto" w:fill="auto"/>
            <w:vAlign w:val="center"/>
          </w:tcPr>
          <w:p w14:paraId="0FC1213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shd w:val="clear" w:color="auto" w:fill="auto"/>
            <w:vAlign w:val="center"/>
          </w:tcPr>
          <w:p w14:paraId="6D9B36E5">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shd w:val="clear" w:color="auto" w:fill="auto"/>
            <w:vAlign w:val="center"/>
          </w:tcPr>
          <w:p w14:paraId="5DCD3479">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4/4/5</w:t>
            </w:r>
          </w:p>
        </w:tc>
        <w:tc>
          <w:tcPr>
            <w:tcW w:w="1452" w:type="dxa"/>
            <w:shd w:val="clear" w:color="auto" w:fill="auto"/>
            <w:vAlign w:val="center"/>
          </w:tcPr>
          <w:p w14:paraId="7A1AB87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3" w:type="dxa"/>
            <w:shd w:val="clear" w:color="auto" w:fill="auto"/>
            <w:vAlign w:val="center"/>
          </w:tcPr>
          <w:p w14:paraId="0D336079">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西院</w:t>
            </w:r>
          </w:p>
        </w:tc>
        <w:tc>
          <w:tcPr>
            <w:tcW w:w="939" w:type="dxa"/>
            <w:vAlign w:val="center"/>
          </w:tcPr>
          <w:p w14:paraId="0315A522">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33" w:type="dxa"/>
            <w:vAlign w:val="center"/>
          </w:tcPr>
          <w:p w14:paraId="30817B40">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CA1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shd w:val="clear" w:color="auto" w:fill="auto"/>
            <w:vAlign w:val="center"/>
          </w:tcPr>
          <w:p w14:paraId="029383A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994" w:type="dxa"/>
            <w:shd w:val="clear" w:color="auto" w:fill="auto"/>
            <w:vAlign w:val="center"/>
          </w:tcPr>
          <w:p w14:paraId="7442D26D">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shd w:val="clear" w:color="auto" w:fill="auto"/>
            <w:vAlign w:val="center"/>
          </w:tcPr>
          <w:p w14:paraId="0673893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LEHY-MRL-II</w:t>
            </w:r>
          </w:p>
          <w:p w14:paraId="080A4CF4">
            <w:pPr>
              <w:spacing w:line="240" w:lineRule="auto"/>
              <w:jc w:val="center"/>
              <w:rPr>
                <w:rFonts w:hint="eastAsia" w:ascii="宋体" w:hAnsi="宋体" w:eastAsia="宋体" w:cs="宋体"/>
                <w:b w:val="0"/>
                <w:bCs w:val="0"/>
                <w:color w:val="auto"/>
                <w:kern w:val="2"/>
                <w:sz w:val="21"/>
                <w:szCs w:val="21"/>
                <w:highlight w:val="none"/>
                <w:lang w:val="en-US" w:eastAsia="en-US" w:bidi="ar-SA"/>
              </w:rPr>
            </w:pPr>
          </w:p>
        </w:tc>
        <w:tc>
          <w:tcPr>
            <w:tcW w:w="1333" w:type="dxa"/>
            <w:shd w:val="clear" w:color="auto" w:fill="auto"/>
            <w:vAlign w:val="center"/>
          </w:tcPr>
          <w:p w14:paraId="4BA4042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shd w:val="clear" w:color="auto" w:fill="auto"/>
            <w:vAlign w:val="center"/>
          </w:tcPr>
          <w:p w14:paraId="6B466DAF">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shd w:val="clear" w:color="auto" w:fill="auto"/>
            <w:vAlign w:val="center"/>
          </w:tcPr>
          <w:p w14:paraId="25B26139">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4/4/5</w:t>
            </w:r>
          </w:p>
        </w:tc>
        <w:tc>
          <w:tcPr>
            <w:tcW w:w="1452" w:type="dxa"/>
            <w:shd w:val="clear" w:color="auto" w:fill="auto"/>
            <w:vAlign w:val="center"/>
          </w:tcPr>
          <w:p w14:paraId="6EAFA54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3" w:type="dxa"/>
            <w:shd w:val="clear" w:color="auto" w:fill="auto"/>
            <w:vAlign w:val="center"/>
          </w:tcPr>
          <w:p w14:paraId="70AD290F">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西院</w:t>
            </w:r>
          </w:p>
        </w:tc>
        <w:tc>
          <w:tcPr>
            <w:tcW w:w="939" w:type="dxa"/>
            <w:vAlign w:val="center"/>
          </w:tcPr>
          <w:p w14:paraId="09D14E2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33" w:type="dxa"/>
            <w:vAlign w:val="center"/>
          </w:tcPr>
          <w:p w14:paraId="4805AD3F">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28576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shd w:val="clear" w:color="auto" w:fill="auto"/>
            <w:vAlign w:val="center"/>
          </w:tcPr>
          <w:p w14:paraId="72EFDF6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994" w:type="dxa"/>
            <w:shd w:val="clear" w:color="auto" w:fill="auto"/>
            <w:vAlign w:val="center"/>
          </w:tcPr>
          <w:p w14:paraId="137B2023">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shd w:val="clear" w:color="auto" w:fill="auto"/>
            <w:vAlign w:val="center"/>
          </w:tcPr>
          <w:p w14:paraId="2157ECA8">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LEHY-MRL-II</w:t>
            </w:r>
          </w:p>
        </w:tc>
        <w:tc>
          <w:tcPr>
            <w:tcW w:w="1333" w:type="dxa"/>
            <w:shd w:val="clear" w:color="auto" w:fill="auto"/>
            <w:vAlign w:val="center"/>
          </w:tcPr>
          <w:p w14:paraId="1A2F085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shd w:val="clear" w:color="auto" w:fill="auto"/>
            <w:vAlign w:val="center"/>
          </w:tcPr>
          <w:p w14:paraId="1FB0F6C6">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shd w:val="clear" w:color="auto" w:fill="auto"/>
            <w:vAlign w:val="center"/>
          </w:tcPr>
          <w:p w14:paraId="37950249">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4/4/5</w:t>
            </w:r>
          </w:p>
        </w:tc>
        <w:tc>
          <w:tcPr>
            <w:tcW w:w="1452" w:type="dxa"/>
            <w:shd w:val="clear" w:color="auto" w:fill="auto"/>
            <w:vAlign w:val="center"/>
          </w:tcPr>
          <w:p w14:paraId="0197EB9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3" w:type="dxa"/>
            <w:shd w:val="clear" w:color="auto" w:fill="auto"/>
            <w:vAlign w:val="center"/>
          </w:tcPr>
          <w:p w14:paraId="43CA7F32">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西院</w:t>
            </w:r>
          </w:p>
        </w:tc>
        <w:tc>
          <w:tcPr>
            <w:tcW w:w="939" w:type="dxa"/>
            <w:vAlign w:val="center"/>
          </w:tcPr>
          <w:p w14:paraId="59C03BBC">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33" w:type="dxa"/>
            <w:vAlign w:val="center"/>
          </w:tcPr>
          <w:p w14:paraId="262A2DB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64BB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shd w:val="clear" w:color="auto" w:fill="auto"/>
            <w:vAlign w:val="center"/>
          </w:tcPr>
          <w:p w14:paraId="7C333B0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994" w:type="dxa"/>
            <w:shd w:val="clear" w:color="auto" w:fill="auto"/>
            <w:vAlign w:val="center"/>
          </w:tcPr>
          <w:p w14:paraId="7E8622B6">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shd w:val="clear" w:color="auto" w:fill="auto"/>
            <w:vAlign w:val="center"/>
          </w:tcPr>
          <w:p w14:paraId="38157D3C">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LEHY-MRL-II</w:t>
            </w:r>
          </w:p>
        </w:tc>
        <w:tc>
          <w:tcPr>
            <w:tcW w:w="1333" w:type="dxa"/>
            <w:shd w:val="clear" w:color="auto" w:fill="auto"/>
            <w:vAlign w:val="center"/>
          </w:tcPr>
          <w:p w14:paraId="2E826F5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shd w:val="clear" w:color="auto" w:fill="auto"/>
            <w:vAlign w:val="center"/>
          </w:tcPr>
          <w:p w14:paraId="7B08025B">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1050</w:t>
            </w:r>
          </w:p>
        </w:tc>
        <w:tc>
          <w:tcPr>
            <w:tcW w:w="917" w:type="dxa"/>
            <w:shd w:val="clear" w:color="auto" w:fill="auto"/>
            <w:vAlign w:val="center"/>
          </w:tcPr>
          <w:p w14:paraId="3EF4A12B">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4/4/5</w:t>
            </w:r>
          </w:p>
        </w:tc>
        <w:tc>
          <w:tcPr>
            <w:tcW w:w="1452" w:type="dxa"/>
            <w:shd w:val="clear" w:color="auto" w:fill="auto"/>
            <w:vAlign w:val="center"/>
          </w:tcPr>
          <w:p w14:paraId="7789DBA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3" w:type="dxa"/>
            <w:shd w:val="clear" w:color="auto" w:fill="auto"/>
            <w:vAlign w:val="center"/>
          </w:tcPr>
          <w:p w14:paraId="6347E003">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西院</w:t>
            </w:r>
          </w:p>
        </w:tc>
        <w:tc>
          <w:tcPr>
            <w:tcW w:w="939" w:type="dxa"/>
            <w:vAlign w:val="center"/>
          </w:tcPr>
          <w:p w14:paraId="2C05360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33" w:type="dxa"/>
            <w:vAlign w:val="center"/>
          </w:tcPr>
          <w:p w14:paraId="7CE1DA3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4975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shd w:val="clear" w:color="auto" w:fill="auto"/>
            <w:vAlign w:val="center"/>
          </w:tcPr>
          <w:p w14:paraId="5D9BCAE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994" w:type="dxa"/>
            <w:shd w:val="clear" w:color="auto" w:fill="auto"/>
            <w:vAlign w:val="center"/>
          </w:tcPr>
          <w:p w14:paraId="1F6D64C7">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小餐梯</w:t>
            </w:r>
          </w:p>
        </w:tc>
        <w:tc>
          <w:tcPr>
            <w:tcW w:w="1433" w:type="dxa"/>
            <w:shd w:val="clear" w:color="auto" w:fill="auto"/>
            <w:vAlign w:val="center"/>
          </w:tcPr>
          <w:p w14:paraId="3043F8E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TWJ200/0 .4</w:t>
            </w:r>
          </w:p>
          <w:p w14:paraId="2A6530C5">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-AS</w:t>
            </w:r>
          </w:p>
        </w:tc>
        <w:tc>
          <w:tcPr>
            <w:tcW w:w="1333" w:type="dxa"/>
            <w:shd w:val="clear" w:color="auto" w:fill="auto"/>
            <w:vAlign w:val="center"/>
          </w:tcPr>
          <w:p w14:paraId="31079B7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上海靓逸电梯有限公司</w:t>
            </w:r>
          </w:p>
        </w:tc>
        <w:tc>
          <w:tcPr>
            <w:tcW w:w="699" w:type="dxa"/>
            <w:shd w:val="clear" w:color="auto" w:fill="auto"/>
            <w:vAlign w:val="center"/>
          </w:tcPr>
          <w:p w14:paraId="6C6B9340">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200</w:t>
            </w:r>
          </w:p>
        </w:tc>
        <w:tc>
          <w:tcPr>
            <w:tcW w:w="917" w:type="dxa"/>
            <w:shd w:val="clear" w:color="auto" w:fill="auto"/>
            <w:vAlign w:val="center"/>
          </w:tcPr>
          <w:p w14:paraId="06036136">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2/2</w:t>
            </w:r>
          </w:p>
        </w:tc>
        <w:tc>
          <w:tcPr>
            <w:tcW w:w="1452" w:type="dxa"/>
            <w:shd w:val="clear" w:color="auto" w:fill="auto"/>
            <w:vAlign w:val="center"/>
          </w:tcPr>
          <w:p w14:paraId="5E2F9C7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餐梯</w:t>
            </w:r>
          </w:p>
        </w:tc>
        <w:tc>
          <w:tcPr>
            <w:tcW w:w="813" w:type="dxa"/>
            <w:shd w:val="clear" w:color="auto" w:fill="auto"/>
            <w:vAlign w:val="center"/>
          </w:tcPr>
          <w:p w14:paraId="01B23CC6">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西院</w:t>
            </w:r>
          </w:p>
        </w:tc>
        <w:tc>
          <w:tcPr>
            <w:tcW w:w="939" w:type="dxa"/>
            <w:vAlign w:val="center"/>
          </w:tcPr>
          <w:p w14:paraId="5F06FBF7">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33" w:type="dxa"/>
            <w:vAlign w:val="center"/>
          </w:tcPr>
          <w:p w14:paraId="391CE6B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2F338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shd w:val="clear" w:color="auto" w:fill="auto"/>
            <w:vAlign w:val="center"/>
          </w:tcPr>
          <w:p w14:paraId="16551ED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994" w:type="dxa"/>
            <w:shd w:val="clear" w:color="auto" w:fill="auto"/>
            <w:vAlign w:val="center"/>
          </w:tcPr>
          <w:p w14:paraId="405D2A60">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shd w:val="clear" w:color="auto" w:fill="auto"/>
            <w:vAlign w:val="center"/>
          </w:tcPr>
          <w:p w14:paraId="74392224">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LEHY-III-S</w:t>
            </w:r>
          </w:p>
        </w:tc>
        <w:tc>
          <w:tcPr>
            <w:tcW w:w="1333" w:type="dxa"/>
            <w:shd w:val="clear" w:color="auto" w:fill="auto"/>
            <w:vAlign w:val="center"/>
          </w:tcPr>
          <w:p w14:paraId="4FB6C58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shd w:val="clear" w:color="auto" w:fill="auto"/>
            <w:vAlign w:val="center"/>
          </w:tcPr>
          <w:p w14:paraId="64ABABAA">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1050</w:t>
            </w:r>
          </w:p>
        </w:tc>
        <w:tc>
          <w:tcPr>
            <w:tcW w:w="917" w:type="dxa"/>
            <w:shd w:val="clear" w:color="auto" w:fill="auto"/>
            <w:vAlign w:val="center"/>
          </w:tcPr>
          <w:p w14:paraId="38942B81">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5/5/5</w:t>
            </w:r>
          </w:p>
        </w:tc>
        <w:tc>
          <w:tcPr>
            <w:tcW w:w="1452" w:type="dxa"/>
            <w:shd w:val="clear" w:color="auto" w:fill="auto"/>
            <w:vAlign w:val="center"/>
          </w:tcPr>
          <w:p w14:paraId="1E4FF1B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3" w:type="dxa"/>
            <w:shd w:val="clear" w:color="auto" w:fill="auto"/>
            <w:vAlign w:val="center"/>
          </w:tcPr>
          <w:p w14:paraId="624747FD">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西院</w:t>
            </w:r>
          </w:p>
        </w:tc>
        <w:tc>
          <w:tcPr>
            <w:tcW w:w="939" w:type="dxa"/>
            <w:vAlign w:val="center"/>
          </w:tcPr>
          <w:p w14:paraId="659F7203">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33" w:type="dxa"/>
            <w:vAlign w:val="center"/>
          </w:tcPr>
          <w:p w14:paraId="57B8CE5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5BE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shd w:val="clear" w:color="auto" w:fill="auto"/>
            <w:vAlign w:val="center"/>
          </w:tcPr>
          <w:p w14:paraId="4B7C7CC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994" w:type="dxa"/>
            <w:shd w:val="clear" w:color="auto" w:fill="auto"/>
            <w:vAlign w:val="center"/>
          </w:tcPr>
          <w:p w14:paraId="16C137EE">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shd w:val="clear" w:color="auto" w:fill="auto"/>
            <w:vAlign w:val="center"/>
          </w:tcPr>
          <w:p w14:paraId="46C61DC3">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LEHY-MRL-II</w:t>
            </w:r>
          </w:p>
        </w:tc>
        <w:tc>
          <w:tcPr>
            <w:tcW w:w="1333" w:type="dxa"/>
            <w:shd w:val="clear" w:color="auto" w:fill="auto"/>
            <w:vAlign w:val="center"/>
          </w:tcPr>
          <w:p w14:paraId="645478C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shd w:val="clear" w:color="auto" w:fill="auto"/>
            <w:vAlign w:val="center"/>
          </w:tcPr>
          <w:p w14:paraId="63D68090">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shd w:val="clear" w:color="auto" w:fill="auto"/>
            <w:vAlign w:val="center"/>
          </w:tcPr>
          <w:p w14:paraId="33B4B1B7">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6/6/7</w:t>
            </w:r>
          </w:p>
        </w:tc>
        <w:tc>
          <w:tcPr>
            <w:tcW w:w="1452" w:type="dxa"/>
            <w:shd w:val="clear" w:color="auto" w:fill="auto"/>
            <w:vAlign w:val="center"/>
          </w:tcPr>
          <w:p w14:paraId="6EF75F7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3" w:type="dxa"/>
            <w:shd w:val="clear" w:color="auto" w:fill="auto"/>
            <w:vAlign w:val="center"/>
          </w:tcPr>
          <w:p w14:paraId="21EC8074">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西院</w:t>
            </w:r>
          </w:p>
        </w:tc>
        <w:tc>
          <w:tcPr>
            <w:tcW w:w="939" w:type="dxa"/>
            <w:vAlign w:val="center"/>
          </w:tcPr>
          <w:p w14:paraId="7EBE815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33" w:type="dxa"/>
            <w:vAlign w:val="center"/>
          </w:tcPr>
          <w:p w14:paraId="7D0AF7B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6B26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shd w:val="clear" w:color="auto" w:fill="auto"/>
            <w:vAlign w:val="center"/>
          </w:tcPr>
          <w:p w14:paraId="6F08649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994" w:type="dxa"/>
            <w:shd w:val="clear" w:color="auto" w:fill="auto"/>
            <w:vAlign w:val="center"/>
          </w:tcPr>
          <w:p w14:paraId="0E023310">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shd w:val="clear" w:color="auto" w:fill="auto"/>
            <w:vAlign w:val="center"/>
          </w:tcPr>
          <w:p w14:paraId="09B7DC17">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LEHY-MRL-II</w:t>
            </w:r>
          </w:p>
        </w:tc>
        <w:tc>
          <w:tcPr>
            <w:tcW w:w="1333" w:type="dxa"/>
            <w:shd w:val="clear" w:color="auto" w:fill="auto"/>
            <w:vAlign w:val="center"/>
          </w:tcPr>
          <w:p w14:paraId="0D0198E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shd w:val="clear" w:color="auto" w:fill="auto"/>
            <w:vAlign w:val="center"/>
          </w:tcPr>
          <w:p w14:paraId="46587D47">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shd w:val="clear" w:color="auto" w:fill="auto"/>
            <w:vAlign w:val="center"/>
          </w:tcPr>
          <w:p w14:paraId="584511C5">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6/6/7</w:t>
            </w:r>
          </w:p>
        </w:tc>
        <w:tc>
          <w:tcPr>
            <w:tcW w:w="1452" w:type="dxa"/>
            <w:shd w:val="clear" w:color="auto" w:fill="auto"/>
            <w:vAlign w:val="center"/>
          </w:tcPr>
          <w:p w14:paraId="35E1F93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3" w:type="dxa"/>
            <w:shd w:val="clear" w:color="auto" w:fill="auto"/>
            <w:vAlign w:val="center"/>
          </w:tcPr>
          <w:p w14:paraId="29ED330B">
            <w:pPr>
              <w:spacing w:line="240" w:lineRule="auto"/>
              <w:jc w:val="center"/>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zh-CN" w:bidi="ar-SA"/>
              </w:rPr>
              <w:t>西院</w:t>
            </w:r>
          </w:p>
        </w:tc>
        <w:tc>
          <w:tcPr>
            <w:tcW w:w="939" w:type="dxa"/>
            <w:vAlign w:val="center"/>
          </w:tcPr>
          <w:p w14:paraId="63C87B10">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33" w:type="dxa"/>
            <w:vAlign w:val="center"/>
          </w:tcPr>
          <w:p w14:paraId="796DCAF1">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0820F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2ECEB7B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每月维保</w:t>
            </w:r>
            <w:r>
              <w:rPr>
                <w:rFonts w:hint="eastAsia" w:ascii="宋体" w:hAnsi="宋体" w:eastAsia="宋体" w:cs="宋体"/>
                <w:b w:val="0"/>
                <w:bCs w:val="0"/>
                <w:color w:val="auto"/>
                <w:kern w:val="2"/>
                <w:sz w:val="21"/>
                <w:szCs w:val="21"/>
                <w:highlight w:val="none"/>
                <w:lang w:val="en-US" w:eastAsia="zh-CN" w:bidi="ar-SA"/>
              </w:rPr>
              <w:t>费</w:t>
            </w:r>
            <w:r>
              <w:rPr>
                <w:rFonts w:hint="eastAsia" w:ascii="宋体" w:hAnsi="宋体" w:eastAsia="宋体" w:cs="宋体"/>
                <w:b w:val="0"/>
                <w:bCs w:val="0"/>
                <w:color w:val="auto"/>
                <w:kern w:val="2"/>
                <w:sz w:val="21"/>
                <w:szCs w:val="21"/>
                <w:highlight w:val="none"/>
                <w:lang w:val="en-US" w:eastAsia="en-US" w:bidi="ar-SA"/>
              </w:rPr>
              <w:t>合计</w:t>
            </w:r>
          </w:p>
        </w:tc>
        <w:tc>
          <w:tcPr>
            <w:tcW w:w="7086" w:type="dxa"/>
            <w:gridSpan w:val="7"/>
            <w:vAlign w:val="center"/>
          </w:tcPr>
          <w:p w14:paraId="1665180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2A7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0F2A0CF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每年维保</w:t>
            </w:r>
            <w:r>
              <w:rPr>
                <w:rFonts w:hint="eastAsia" w:ascii="宋体" w:hAnsi="宋体" w:eastAsia="宋体" w:cs="宋体"/>
                <w:b w:val="0"/>
                <w:bCs w:val="0"/>
                <w:color w:val="auto"/>
                <w:kern w:val="2"/>
                <w:sz w:val="21"/>
                <w:szCs w:val="21"/>
                <w:highlight w:val="none"/>
                <w:lang w:val="en-US" w:eastAsia="zh-CN" w:bidi="ar-SA"/>
              </w:rPr>
              <w:t>费</w:t>
            </w:r>
            <w:r>
              <w:rPr>
                <w:rFonts w:hint="eastAsia" w:ascii="宋体" w:hAnsi="宋体" w:eastAsia="宋体" w:cs="宋体"/>
                <w:b w:val="0"/>
                <w:bCs w:val="0"/>
                <w:color w:val="auto"/>
                <w:kern w:val="2"/>
                <w:sz w:val="21"/>
                <w:szCs w:val="21"/>
                <w:highlight w:val="none"/>
                <w:lang w:val="en-US" w:eastAsia="en-US" w:bidi="ar-SA"/>
              </w:rPr>
              <w:t>合计</w:t>
            </w:r>
          </w:p>
        </w:tc>
        <w:tc>
          <w:tcPr>
            <w:tcW w:w="7086" w:type="dxa"/>
            <w:gridSpan w:val="7"/>
            <w:vAlign w:val="center"/>
          </w:tcPr>
          <w:p w14:paraId="1C7CB131">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4912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6F3DF13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限速器校验费合计</w:t>
            </w:r>
          </w:p>
        </w:tc>
        <w:tc>
          <w:tcPr>
            <w:tcW w:w="7086" w:type="dxa"/>
            <w:gridSpan w:val="7"/>
            <w:vAlign w:val="center"/>
          </w:tcPr>
          <w:p w14:paraId="72954796">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06652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1A687EC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每年年检费合计</w:t>
            </w:r>
          </w:p>
        </w:tc>
        <w:tc>
          <w:tcPr>
            <w:tcW w:w="7086" w:type="dxa"/>
            <w:gridSpan w:val="7"/>
            <w:vAlign w:val="center"/>
          </w:tcPr>
          <w:p w14:paraId="33CEA58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0CC3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1496142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东院老院区24台</w:t>
            </w:r>
          </w:p>
          <w:p w14:paraId="2EF4B22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电梯费用合计</w:t>
            </w:r>
          </w:p>
        </w:tc>
        <w:tc>
          <w:tcPr>
            <w:tcW w:w="7086" w:type="dxa"/>
            <w:gridSpan w:val="7"/>
            <w:vAlign w:val="center"/>
          </w:tcPr>
          <w:p w14:paraId="198BE2AE">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bl>
    <w:p w14:paraId="147CBC4B">
      <w:pPr>
        <w:jc w:val="right"/>
        <w:rPr>
          <w:rFonts w:hint="eastAsia" w:ascii="楷体" w:hAnsi="楷体" w:eastAsia="楷体"/>
          <w:color w:val="auto"/>
          <w:sz w:val="24"/>
        </w:rPr>
      </w:pPr>
      <w:r>
        <w:rPr>
          <w:rFonts w:hint="eastAsia" w:ascii="楷体" w:hAnsi="楷体" w:eastAsia="楷体"/>
          <w:color w:val="auto"/>
          <w:sz w:val="24"/>
        </w:rPr>
        <w:t>单位：元</w:t>
      </w:r>
    </w:p>
    <w:p w14:paraId="74A1AF97">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备注：维保期从2026年1月1日至2026年12月31日，当年年检费、限速器校验费用（如有），由中标单位承担。</w:t>
      </w:r>
    </w:p>
    <w:p w14:paraId="0FFD5DEF">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br w:type="page"/>
      </w:r>
    </w:p>
    <w:p w14:paraId="275C0D78">
      <w:pPr>
        <w:numPr>
          <w:ilvl w:val="0"/>
          <w:numId w:val="1"/>
        </w:num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报价单位需对下表中</w:t>
      </w:r>
      <w:r>
        <w:rPr>
          <w:rFonts w:hint="eastAsia" w:ascii="仿宋" w:hAnsi="仿宋" w:eastAsia="仿宋" w:cs="仿宋"/>
          <w:color w:val="auto"/>
          <w:kern w:val="2"/>
          <w:sz w:val="28"/>
          <w:szCs w:val="28"/>
          <w:highlight w:val="none"/>
          <w:lang w:val="en-US" w:eastAsia="zh-CN" w:bidi="ar-SA"/>
        </w:rPr>
        <w:t>电梯维修配件进行报价</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不计入</w:t>
      </w:r>
      <w:r>
        <w:rPr>
          <w:rFonts w:hint="eastAsia" w:ascii="仿宋" w:hAnsi="仿宋" w:eastAsia="仿宋" w:cs="仿宋"/>
          <w:color w:val="auto"/>
          <w:kern w:val="2"/>
          <w:sz w:val="28"/>
          <w:szCs w:val="28"/>
          <w:highlight w:val="none"/>
          <w:lang w:val="en-US" w:eastAsia="zh-CN" w:bidi="ar-SA"/>
        </w:rPr>
        <w:t>投标总价，按实际发生结算。</w:t>
      </w:r>
    </w:p>
    <w:p w14:paraId="7BE271C0">
      <w:pPr>
        <w:numPr>
          <w:ilvl w:val="0"/>
          <w:numId w:val="0"/>
        </w:numPr>
        <w:spacing w:line="360" w:lineRule="auto"/>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电梯维修配件费用明细</w:t>
      </w:r>
    </w:p>
    <w:p w14:paraId="13745B2E">
      <w:pPr>
        <w:rPr>
          <w:rFonts w:hint="eastAsia"/>
          <w:color w:val="auto"/>
          <w:lang w:val="en-US" w:eastAsia="zh-CN"/>
        </w:rPr>
      </w:pPr>
    </w:p>
    <w:tbl>
      <w:tblPr>
        <w:tblStyle w:val="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287"/>
        <w:gridCol w:w="1474"/>
        <w:gridCol w:w="2623"/>
        <w:gridCol w:w="824"/>
        <w:gridCol w:w="1340"/>
      </w:tblGrid>
      <w:tr w14:paraId="0550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0091BDE">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序号</w:t>
            </w:r>
          </w:p>
        </w:tc>
        <w:tc>
          <w:tcPr>
            <w:tcW w:w="2287" w:type="dxa"/>
            <w:vAlign w:val="center"/>
          </w:tcPr>
          <w:p w14:paraId="601B1A03">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名称</w:t>
            </w:r>
          </w:p>
        </w:tc>
        <w:tc>
          <w:tcPr>
            <w:tcW w:w="1474" w:type="dxa"/>
            <w:vAlign w:val="center"/>
          </w:tcPr>
          <w:p w14:paraId="0D4115EF">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品牌</w:t>
            </w:r>
          </w:p>
          <w:p w14:paraId="6BC975FB">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（制造商）</w:t>
            </w:r>
          </w:p>
        </w:tc>
        <w:tc>
          <w:tcPr>
            <w:tcW w:w="2623" w:type="dxa"/>
            <w:vAlign w:val="center"/>
          </w:tcPr>
          <w:p w14:paraId="6186920B">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规格型号</w:t>
            </w:r>
          </w:p>
        </w:tc>
        <w:tc>
          <w:tcPr>
            <w:tcW w:w="824" w:type="dxa"/>
            <w:vAlign w:val="center"/>
          </w:tcPr>
          <w:p w14:paraId="18E9491E">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数量</w:t>
            </w:r>
          </w:p>
        </w:tc>
        <w:tc>
          <w:tcPr>
            <w:tcW w:w="1340" w:type="dxa"/>
            <w:vAlign w:val="center"/>
          </w:tcPr>
          <w:p w14:paraId="6842DD1F">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单价（元）</w:t>
            </w:r>
          </w:p>
        </w:tc>
      </w:tr>
      <w:tr w14:paraId="72F7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173B327E">
            <w:pPr>
              <w:jc w:val="center"/>
              <w:rPr>
                <w:rFonts w:hint="default"/>
                <w:color w:val="auto"/>
                <w:sz w:val="24"/>
                <w:szCs w:val="24"/>
                <w:vertAlign w:val="baseline"/>
                <w:lang w:val="en-US" w:eastAsia="zh-CN"/>
              </w:rPr>
            </w:pPr>
          </w:p>
        </w:tc>
        <w:tc>
          <w:tcPr>
            <w:tcW w:w="2287" w:type="dxa"/>
            <w:vAlign w:val="center"/>
          </w:tcPr>
          <w:p w14:paraId="02D7383A">
            <w:pPr>
              <w:jc w:val="center"/>
              <w:rPr>
                <w:rFonts w:hint="default"/>
                <w:color w:val="auto"/>
                <w:sz w:val="24"/>
                <w:szCs w:val="24"/>
                <w:vertAlign w:val="baseline"/>
                <w:lang w:val="en-US" w:eastAsia="zh-CN"/>
              </w:rPr>
            </w:pPr>
          </w:p>
        </w:tc>
        <w:tc>
          <w:tcPr>
            <w:tcW w:w="1474" w:type="dxa"/>
            <w:vAlign w:val="center"/>
          </w:tcPr>
          <w:p w14:paraId="05445CAF">
            <w:pPr>
              <w:jc w:val="center"/>
              <w:rPr>
                <w:rFonts w:hint="default"/>
                <w:color w:val="auto"/>
                <w:sz w:val="24"/>
                <w:szCs w:val="24"/>
                <w:vertAlign w:val="baseline"/>
                <w:lang w:val="en-US" w:eastAsia="zh-CN"/>
              </w:rPr>
            </w:pPr>
          </w:p>
        </w:tc>
        <w:tc>
          <w:tcPr>
            <w:tcW w:w="2623" w:type="dxa"/>
            <w:vAlign w:val="center"/>
          </w:tcPr>
          <w:p w14:paraId="3DBA1EC2">
            <w:pPr>
              <w:jc w:val="center"/>
              <w:rPr>
                <w:rFonts w:hint="default"/>
                <w:color w:val="auto"/>
                <w:sz w:val="24"/>
                <w:szCs w:val="24"/>
                <w:vertAlign w:val="baseline"/>
                <w:lang w:val="en-US" w:eastAsia="zh-CN"/>
              </w:rPr>
            </w:pPr>
          </w:p>
        </w:tc>
        <w:tc>
          <w:tcPr>
            <w:tcW w:w="824" w:type="dxa"/>
            <w:vAlign w:val="center"/>
          </w:tcPr>
          <w:p w14:paraId="34ABB754">
            <w:pPr>
              <w:jc w:val="center"/>
              <w:rPr>
                <w:rFonts w:hint="default"/>
                <w:color w:val="auto"/>
                <w:sz w:val="24"/>
                <w:szCs w:val="24"/>
                <w:vertAlign w:val="baseline"/>
                <w:lang w:val="en-US" w:eastAsia="zh-CN"/>
              </w:rPr>
            </w:pPr>
          </w:p>
        </w:tc>
        <w:tc>
          <w:tcPr>
            <w:tcW w:w="1340" w:type="dxa"/>
            <w:vAlign w:val="center"/>
          </w:tcPr>
          <w:p w14:paraId="6D14B58A">
            <w:pPr>
              <w:jc w:val="center"/>
              <w:rPr>
                <w:rFonts w:hint="default"/>
                <w:color w:val="auto"/>
                <w:sz w:val="24"/>
                <w:szCs w:val="24"/>
                <w:vertAlign w:val="baseline"/>
                <w:lang w:val="en-US" w:eastAsia="zh-CN"/>
              </w:rPr>
            </w:pPr>
          </w:p>
        </w:tc>
      </w:tr>
      <w:tr w14:paraId="403D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FF70E80">
            <w:pPr>
              <w:jc w:val="center"/>
              <w:rPr>
                <w:rFonts w:hint="default"/>
                <w:color w:val="auto"/>
                <w:sz w:val="24"/>
                <w:szCs w:val="24"/>
                <w:vertAlign w:val="baseline"/>
                <w:lang w:val="en-US" w:eastAsia="zh-CN"/>
              </w:rPr>
            </w:pPr>
          </w:p>
        </w:tc>
        <w:tc>
          <w:tcPr>
            <w:tcW w:w="2287" w:type="dxa"/>
            <w:vAlign w:val="center"/>
          </w:tcPr>
          <w:p w14:paraId="28A842C6">
            <w:pPr>
              <w:jc w:val="center"/>
              <w:rPr>
                <w:rFonts w:hint="default"/>
                <w:color w:val="auto"/>
                <w:sz w:val="24"/>
                <w:szCs w:val="24"/>
                <w:vertAlign w:val="baseline"/>
                <w:lang w:val="en-US" w:eastAsia="zh-CN"/>
              </w:rPr>
            </w:pPr>
          </w:p>
        </w:tc>
        <w:tc>
          <w:tcPr>
            <w:tcW w:w="1474" w:type="dxa"/>
            <w:vAlign w:val="center"/>
          </w:tcPr>
          <w:p w14:paraId="16B90519">
            <w:pPr>
              <w:jc w:val="center"/>
              <w:rPr>
                <w:rFonts w:hint="default"/>
                <w:color w:val="auto"/>
                <w:sz w:val="24"/>
                <w:szCs w:val="24"/>
                <w:vertAlign w:val="baseline"/>
                <w:lang w:val="en-US" w:eastAsia="zh-CN"/>
              </w:rPr>
            </w:pPr>
          </w:p>
        </w:tc>
        <w:tc>
          <w:tcPr>
            <w:tcW w:w="2623" w:type="dxa"/>
            <w:vAlign w:val="center"/>
          </w:tcPr>
          <w:p w14:paraId="24ECD0FB">
            <w:pPr>
              <w:jc w:val="center"/>
              <w:rPr>
                <w:rFonts w:hint="default"/>
                <w:color w:val="auto"/>
                <w:sz w:val="24"/>
                <w:szCs w:val="24"/>
                <w:vertAlign w:val="baseline"/>
                <w:lang w:val="en-US" w:eastAsia="zh-CN"/>
              </w:rPr>
            </w:pPr>
          </w:p>
        </w:tc>
        <w:tc>
          <w:tcPr>
            <w:tcW w:w="824" w:type="dxa"/>
            <w:vAlign w:val="center"/>
          </w:tcPr>
          <w:p w14:paraId="4396F294">
            <w:pPr>
              <w:jc w:val="center"/>
              <w:rPr>
                <w:rFonts w:hint="default"/>
                <w:color w:val="auto"/>
                <w:sz w:val="24"/>
                <w:szCs w:val="24"/>
                <w:vertAlign w:val="baseline"/>
                <w:lang w:val="en-US" w:eastAsia="zh-CN"/>
              </w:rPr>
            </w:pPr>
          </w:p>
        </w:tc>
        <w:tc>
          <w:tcPr>
            <w:tcW w:w="1340" w:type="dxa"/>
            <w:vAlign w:val="center"/>
          </w:tcPr>
          <w:p w14:paraId="06FA8EFF">
            <w:pPr>
              <w:jc w:val="center"/>
              <w:rPr>
                <w:rFonts w:hint="default"/>
                <w:color w:val="auto"/>
                <w:sz w:val="24"/>
                <w:szCs w:val="24"/>
                <w:vertAlign w:val="baseline"/>
                <w:lang w:val="en-US" w:eastAsia="zh-CN"/>
              </w:rPr>
            </w:pPr>
          </w:p>
        </w:tc>
      </w:tr>
      <w:tr w14:paraId="0F0E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0EAC3226">
            <w:pPr>
              <w:jc w:val="center"/>
              <w:rPr>
                <w:rFonts w:hint="default"/>
                <w:color w:val="auto"/>
                <w:sz w:val="24"/>
                <w:szCs w:val="24"/>
                <w:vertAlign w:val="baseline"/>
                <w:lang w:val="en-US" w:eastAsia="zh-CN"/>
              </w:rPr>
            </w:pPr>
          </w:p>
        </w:tc>
        <w:tc>
          <w:tcPr>
            <w:tcW w:w="2287" w:type="dxa"/>
            <w:vAlign w:val="center"/>
          </w:tcPr>
          <w:p w14:paraId="3664431E">
            <w:pPr>
              <w:jc w:val="center"/>
              <w:rPr>
                <w:rFonts w:hint="default"/>
                <w:color w:val="auto"/>
                <w:sz w:val="24"/>
                <w:szCs w:val="24"/>
                <w:vertAlign w:val="baseline"/>
                <w:lang w:val="en-US" w:eastAsia="zh-CN"/>
              </w:rPr>
            </w:pPr>
          </w:p>
        </w:tc>
        <w:tc>
          <w:tcPr>
            <w:tcW w:w="1474" w:type="dxa"/>
            <w:vAlign w:val="center"/>
          </w:tcPr>
          <w:p w14:paraId="5B4C2D55">
            <w:pPr>
              <w:jc w:val="center"/>
              <w:rPr>
                <w:rFonts w:hint="default"/>
                <w:color w:val="auto"/>
                <w:sz w:val="24"/>
                <w:szCs w:val="24"/>
                <w:vertAlign w:val="baseline"/>
                <w:lang w:val="en-US" w:eastAsia="zh-CN"/>
              </w:rPr>
            </w:pPr>
          </w:p>
        </w:tc>
        <w:tc>
          <w:tcPr>
            <w:tcW w:w="2623" w:type="dxa"/>
            <w:vAlign w:val="center"/>
          </w:tcPr>
          <w:p w14:paraId="21101C6E">
            <w:pPr>
              <w:jc w:val="center"/>
              <w:rPr>
                <w:rFonts w:hint="default"/>
                <w:color w:val="auto"/>
                <w:sz w:val="24"/>
                <w:szCs w:val="24"/>
                <w:vertAlign w:val="baseline"/>
                <w:lang w:val="en-US" w:eastAsia="zh-CN"/>
              </w:rPr>
            </w:pPr>
          </w:p>
        </w:tc>
        <w:tc>
          <w:tcPr>
            <w:tcW w:w="824" w:type="dxa"/>
            <w:vAlign w:val="center"/>
          </w:tcPr>
          <w:p w14:paraId="7305DB6A">
            <w:pPr>
              <w:jc w:val="center"/>
              <w:rPr>
                <w:rFonts w:hint="default"/>
                <w:color w:val="auto"/>
                <w:sz w:val="24"/>
                <w:szCs w:val="24"/>
                <w:vertAlign w:val="baseline"/>
                <w:lang w:val="en-US" w:eastAsia="zh-CN"/>
              </w:rPr>
            </w:pPr>
          </w:p>
        </w:tc>
        <w:tc>
          <w:tcPr>
            <w:tcW w:w="1340" w:type="dxa"/>
            <w:vAlign w:val="center"/>
          </w:tcPr>
          <w:p w14:paraId="24F7EE34">
            <w:pPr>
              <w:jc w:val="center"/>
              <w:rPr>
                <w:rFonts w:hint="default"/>
                <w:color w:val="auto"/>
                <w:sz w:val="24"/>
                <w:szCs w:val="24"/>
                <w:vertAlign w:val="baseline"/>
                <w:lang w:val="en-US" w:eastAsia="zh-CN"/>
              </w:rPr>
            </w:pPr>
          </w:p>
        </w:tc>
      </w:tr>
      <w:tr w14:paraId="39E0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FD98CA6">
            <w:pPr>
              <w:jc w:val="center"/>
              <w:rPr>
                <w:rFonts w:hint="default"/>
                <w:color w:val="auto"/>
                <w:sz w:val="24"/>
                <w:szCs w:val="24"/>
                <w:vertAlign w:val="baseline"/>
                <w:lang w:val="en-US" w:eastAsia="zh-CN"/>
              </w:rPr>
            </w:pPr>
          </w:p>
        </w:tc>
        <w:tc>
          <w:tcPr>
            <w:tcW w:w="2287" w:type="dxa"/>
            <w:vAlign w:val="center"/>
          </w:tcPr>
          <w:p w14:paraId="76D45903">
            <w:pPr>
              <w:jc w:val="center"/>
              <w:rPr>
                <w:rFonts w:hint="default"/>
                <w:color w:val="auto"/>
                <w:sz w:val="24"/>
                <w:szCs w:val="24"/>
                <w:vertAlign w:val="baseline"/>
                <w:lang w:val="en-US" w:eastAsia="zh-CN"/>
              </w:rPr>
            </w:pPr>
          </w:p>
        </w:tc>
        <w:tc>
          <w:tcPr>
            <w:tcW w:w="1474" w:type="dxa"/>
            <w:vAlign w:val="center"/>
          </w:tcPr>
          <w:p w14:paraId="6AFC0F3F">
            <w:pPr>
              <w:jc w:val="center"/>
              <w:rPr>
                <w:rFonts w:hint="default"/>
                <w:color w:val="auto"/>
                <w:sz w:val="24"/>
                <w:szCs w:val="24"/>
                <w:vertAlign w:val="baseline"/>
                <w:lang w:val="en-US" w:eastAsia="zh-CN"/>
              </w:rPr>
            </w:pPr>
          </w:p>
        </w:tc>
        <w:tc>
          <w:tcPr>
            <w:tcW w:w="2623" w:type="dxa"/>
            <w:vAlign w:val="center"/>
          </w:tcPr>
          <w:p w14:paraId="3C1FDA91">
            <w:pPr>
              <w:jc w:val="center"/>
              <w:rPr>
                <w:rFonts w:hint="default"/>
                <w:color w:val="auto"/>
                <w:sz w:val="24"/>
                <w:szCs w:val="24"/>
                <w:vertAlign w:val="baseline"/>
                <w:lang w:val="en-US" w:eastAsia="zh-CN"/>
              </w:rPr>
            </w:pPr>
          </w:p>
        </w:tc>
        <w:tc>
          <w:tcPr>
            <w:tcW w:w="824" w:type="dxa"/>
            <w:vAlign w:val="center"/>
          </w:tcPr>
          <w:p w14:paraId="038498AF">
            <w:pPr>
              <w:jc w:val="center"/>
              <w:rPr>
                <w:rFonts w:hint="default"/>
                <w:color w:val="auto"/>
                <w:sz w:val="24"/>
                <w:szCs w:val="24"/>
                <w:vertAlign w:val="baseline"/>
                <w:lang w:val="en-US" w:eastAsia="zh-CN"/>
              </w:rPr>
            </w:pPr>
          </w:p>
        </w:tc>
        <w:tc>
          <w:tcPr>
            <w:tcW w:w="1340" w:type="dxa"/>
            <w:vAlign w:val="center"/>
          </w:tcPr>
          <w:p w14:paraId="30764951">
            <w:pPr>
              <w:jc w:val="center"/>
              <w:rPr>
                <w:rFonts w:hint="default"/>
                <w:color w:val="auto"/>
                <w:sz w:val="24"/>
                <w:szCs w:val="24"/>
                <w:vertAlign w:val="baseline"/>
                <w:lang w:val="en-US" w:eastAsia="zh-CN"/>
              </w:rPr>
            </w:pPr>
          </w:p>
        </w:tc>
      </w:tr>
      <w:tr w14:paraId="0C29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0383B589">
            <w:pPr>
              <w:jc w:val="center"/>
              <w:rPr>
                <w:rFonts w:hint="default"/>
                <w:color w:val="auto"/>
                <w:sz w:val="24"/>
                <w:szCs w:val="24"/>
                <w:vertAlign w:val="baseline"/>
                <w:lang w:val="en-US" w:eastAsia="zh-CN"/>
              </w:rPr>
            </w:pPr>
          </w:p>
        </w:tc>
        <w:tc>
          <w:tcPr>
            <w:tcW w:w="2287" w:type="dxa"/>
            <w:vAlign w:val="center"/>
          </w:tcPr>
          <w:p w14:paraId="20CE7EE3">
            <w:pPr>
              <w:jc w:val="center"/>
              <w:rPr>
                <w:rFonts w:hint="default"/>
                <w:color w:val="auto"/>
                <w:sz w:val="24"/>
                <w:szCs w:val="24"/>
                <w:vertAlign w:val="baseline"/>
                <w:lang w:val="en-US" w:eastAsia="zh-CN"/>
              </w:rPr>
            </w:pPr>
          </w:p>
        </w:tc>
        <w:tc>
          <w:tcPr>
            <w:tcW w:w="1474" w:type="dxa"/>
            <w:vAlign w:val="center"/>
          </w:tcPr>
          <w:p w14:paraId="58EA1983">
            <w:pPr>
              <w:jc w:val="center"/>
              <w:rPr>
                <w:rFonts w:hint="default"/>
                <w:color w:val="auto"/>
                <w:sz w:val="24"/>
                <w:szCs w:val="24"/>
                <w:vertAlign w:val="baseline"/>
                <w:lang w:val="en-US" w:eastAsia="zh-CN"/>
              </w:rPr>
            </w:pPr>
          </w:p>
        </w:tc>
        <w:tc>
          <w:tcPr>
            <w:tcW w:w="2623" w:type="dxa"/>
            <w:vAlign w:val="center"/>
          </w:tcPr>
          <w:p w14:paraId="55EEFE44">
            <w:pPr>
              <w:jc w:val="center"/>
              <w:rPr>
                <w:rFonts w:hint="default"/>
                <w:color w:val="auto"/>
                <w:sz w:val="24"/>
                <w:szCs w:val="24"/>
                <w:vertAlign w:val="baseline"/>
                <w:lang w:val="en-US" w:eastAsia="zh-CN"/>
              </w:rPr>
            </w:pPr>
          </w:p>
        </w:tc>
        <w:tc>
          <w:tcPr>
            <w:tcW w:w="824" w:type="dxa"/>
            <w:vAlign w:val="center"/>
          </w:tcPr>
          <w:p w14:paraId="5BD7016A">
            <w:pPr>
              <w:jc w:val="center"/>
              <w:rPr>
                <w:rFonts w:hint="default"/>
                <w:color w:val="auto"/>
                <w:sz w:val="24"/>
                <w:szCs w:val="24"/>
                <w:vertAlign w:val="baseline"/>
                <w:lang w:val="en-US" w:eastAsia="zh-CN"/>
              </w:rPr>
            </w:pPr>
          </w:p>
        </w:tc>
        <w:tc>
          <w:tcPr>
            <w:tcW w:w="1340" w:type="dxa"/>
            <w:vAlign w:val="center"/>
          </w:tcPr>
          <w:p w14:paraId="32C64254">
            <w:pPr>
              <w:jc w:val="center"/>
              <w:rPr>
                <w:rFonts w:hint="default"/>
                <w:color w:val="auto"/>
                <w:sz w:val="24"/>
                <w:szCs w:val="24"/>
                <w:vertAlign w:val="baseline"/>
                <w:lang w:val="en-US" w:eastAsia="zh-CN"/>
              </w:rPr>
            </w:pPr>
          </w:p>
        </w:tc>
      </w:tr>
      <w:tr w14:paraId="6981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5B5FB77">
            <w:pPr>
              <w:jc w:val="center"/>
              <w:rPr>
                <w:rFonts w:hint="default"/>
                <w:color w:val="auto"/>
                <w:sz w:val="24"/>
                <w:szCs w:val="24"/>
                <w:vertAlign w:val="baseline"/>
                <w:lang w:val="en-US" w:eastAsia="zh-CN"/>
              </w:rPr>
            </w:pPr>
          </w:p>
        </w:tc>
        <w:tc>
          <w:tcPr>
            <w:tcW w:w="2287" w:type="dxa"/>
            <w:vAlign w:val="center"/>
          </w:tcPr>
          <w:p w14:paraId="52FAAAA6">
            <w:pPr>
              <w:jc w:val="center"/>
              <w:rPr>
                <w:rFonts w:hint="default"/>
                <w:color w:val="auto"/>
                <w:sz w:val="24"/>
                <w:szCs w:val="24"/>
                <w:vertAlign w:val="baseline"/>
                <w:lang w:val="en-US" w:eastAsia="zh-CN"/>
              </w:rPr>
            </w:pPr>
          </w:p>
        </w:tc>
        <w:tc>
          <w:tcPr>
            <w:tcW w:w="1474" w:type="dxa"/>
            <w:vAlign w:val="center"/>
          </w:tcPr>
          <w:p w14:paraId="324276AF">
            <w:pPr>
              <w:jc w:val="center"/>
              <w:rPr>
                <w:rFonts w:hint="default"/>
                <w:color w:val="auto"/>
                <w:sz w:val="24"/>
                <w:szCs w:val="24"/>
                <w:vertAlign w:val="baseline"/>
                <w:lang w:val="en-US" w:eastAsia="zh-CN"/>
              </w:rPr>
            </w:pPr>
          </w:p>
        </w:tc>
        <w:tc>
          <w:tcPr>
            <w:tcW w:w="2623" w:type="dxa"/>
            <w:vAlign w:val="center"/>
          </w:tcPr>
          <w:p w14:paraId="67D67481">
            <w:pPr>
              <w:jc w:val="center"/>
              <w:rPr>
                <w:rFonts w:hint="default"/>
                <w:color w:val="auto"/>
                <w:sz w:val="24"/>
                <w:szCs w:val="24"/>
                <w:vertAlign w:val="baseline"/>
                <w:lang w:val="en-US" w:eastAsia="zh-CN"/>
              </w:rPr>
            </w:pPr>
          </w:p>
        </w:tc>
        <w:tc>
          <w:tcPr>
            <w:tcW w:w="824" w:type="dxa"/>
            <w:vAlign w:val="center"/>
          </w:tcPr>
          <w:p w14:paraId="4F7CB98D">
            <w:pPr>
              <w:jc w:val="center"/>
              <w:rPr>
                <w:rFonts w:hint="default"/>
                <w:color w:val="auto"/>
                <w:sz w:val="24"/>
                <w:szCs w:val="24"/>
                <w:vertAlign w:val="baseline"/>
                <w:lang w:val="en-US" w:eastAsia="zh-CN"/>
              </w:rPr>
            </w:pPr>
          </w:p>
        </w:tc>
        <w:tc>
          <w:tcPr>
            <w:tcW w:w="1340" w:type="dxa"/>
            <w:vAlign w:val="center"/>
          </w:tcPr>
          <w:p w14:paraId="7F734963">
            <w:pPr>
              <w:jc w:val="center"/>
              <w:rPr>
                <w:rFonts w:hint="default"/>
                <w:color w:val="auto"/>
                <w:sz w:val="24"/>
                <w:szCs w:val="24"/>
                <w:vertAlign w:val="baseline"/>
                <w:lang w:val="en-US" w:eastAsia="zh-CN"/>
              </w:rPr>
            </w:pPr>
          </w:p>
        </w:tc>
      </w:tr>
      <w:tr w14:paraId="3AD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5635026A">
            <w:pPr>
              <w:jc w:val="center"/>
              <w:rPr>
                <w:rFonts w:hint="default"/>
                <w:color w:val="auto"/>
                <w:sz w:val="24"/>
                <w:szCs w:val="24"/>
                <w:vertAlign w:val="baseline"/>
                <w:lang w:val="en-US" w:eastAsia="zh-CN"/>
              </w:rPr>
            </w:pPr>
          </w:p>
        </w:tc>
        <w:tc>
          <w:tcPr>
            <w:tcW w:w="2287" w:type="dxa"/>
            <w:vAlign w:val="center"/>
          </w:tcPr>
          <w:p w14:paraId="3523867F">
            <w:pPr>
              <w:jc w:val="center"/>
              <w:rPr>
                <w:rFonts w:hint="default"/>
                <w:color w:val="auto"/>
                <w:sz w:val="24"/>
                <w:szCs w:val="24"/>
                <w:vertAlign w:val="baseline"/>
                <w:lang w:val="en-US" w:eastAsia="zh-CN"/>
              </w:rPr>
            </w:pPr>
          </w:p>
        </w:tc>
        <w:tc>
          <w:tcPr>
            <w:tcW w:w="1474" w:type="dxa"/>
            <w:vAlign w:val="center"/>
          </w:tcPr>
          <w:p w14:paraId="687E9676">
            <w:pPr>
              <w:jc w:val="center"/>
              <w:rPr>
                <w:rFonts w:hint="default"/>
                <w:color w:val="auto"/>
                <w:sz w:val="24"/>
                <w:szCs w:val="24"/>
                <w:vertAlign w:val="baseline"/>
                <w:lang w:val="en-US" w:eastAsia="zh-CN"/>
              </w:rPr>
            </w:pPr>
          </w:p>
        </w:tc>
        <w:tc>
          <w:tcPr>
            <w:tcW w:w="2623" w:type="dxa"/>
            <w:vAlign w:val="center"/>
          </w:tcPr>
          <w:p w14:paraId="35C861F4">
            <w:pPr>
              <w:jc w:val="center"/>
              <w:rPr>
                <w:rFonts w:hint="default"/>
                <w:color w:val="auto"/>
                <w:sz w:val="24"/>
                <w:szCs w:val="24"/>
                <w:vertAlign w:val="baseline"/>
                <w:lang w:val="en-US" w:eastAsia="zh-CN"/>
              </w:rPr>
            </w:pPr>
          </w:p>
        </w:tc>
        <w:tc>
          <w:tcPr>
            <w:tcW w:w="824" w:type="dxa"/>
            <w:vAlign w:val="center"/>
          </w:tcPr>
          <w:p w14:paraId="344CA88F">
            <w:pPr>
              <w:jc w:val="center"/>
              <w:rPr>
                <w:rFonts w:hint="default"/>
                <w:color w:val="auto"/>
                <w:sz w:val="24"/>
                <w:szCs w:val="24"/>
                <w:vertAlign w:val="baseline"/>
                <w:lang w:val="en-US" w:eastAsia="zh-CN"/>
              </w:rPr>
            </w:pPr>
          </w:p>
        </w:tc>
        <w:tc>
          <w:tcPr>
            <w:tcW w:w="1340" w:type="dxa"/>
            <w:vAlign w:val="center"/>
          </w:tcPr>
          <w:p w14:paraId="29554A4A">
            <w:pPr>
              <w:jc w:val="center"/>
              <w:rPr>
                <w:rFonts w:hint="default"/>
                <w:color w:val="auto"/>
                <w:sz w:val="24"/>
                <w:szCs w:val="24"/>
                <w:vertAlign w:val="baseline"/>
                <w:lang w:val="en-US" w:eastAsia="zh-CN"/>
              </w:rPr>
            </w:pPr>
          </w:p>
        </w:tc>
      </w:tr>
      <w:tr w14:paraId="6519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3DD0F20A">
            <w:pPr>
              <w:jc w:val="center"/>
              <w:rPr>
                <w:rFonts w:hint="default"/>
                <w:color w:val="auto"/>
                <w:sz w:val="24"/>
                <w:szCs w:val="24"/>
                <w:vertAlign w:val="baseline"/>
                <w:lang w:val="en-US" w:eastAsia="zh-CN"/>
              </w:rPr>
            </w:pPr>
          </w:p>
        </w:tc>
        <w:tc>
          <w:tcPr>
            <w:tcW w:w="2287" w:type="dxa"/>
            <w:vAlign w:val="center"/>
          </w:tcPr>
          <w:p w14:paraId="15A00B28">
            <w:pPr>
              <w:jc w:val="center"/>
              <w:rPr>
                <w:rFonts w:hint="default"/>
                <w:color w:val="auto"/>
                <w:sz w:val="24"/>
                <w:szCs w:val="24"/>
                <w:vertAlign w:val="baseline"/>
                <w:lang w:val="en-US" w:eastAsia="zh-CN"/>
              </w:rPr>
            </w:pPr>
          </w:p>
        </w:tc>
        <w:tc>
          <w:tcPr>
            <w:tcW w:w="1474" w:type="dxa"/>
            <w:vAlign w:val="center"/>
          </w:tcPr>
          <w:p w14:paraId="356AD4DA">
            <w:pPr>
              <w:jc w:val="center"/>
              <w:rPr>
                <w:rFonts w:hint="default"/>
                <w:color w:val="auto"/>
                <w:sz w:val="24"/>
                <w:szCs w:val="24"/>
                <w:vertAlign w:val="baseline"/>
                <w:lang w:val="en-US" w:eastAsia="zh-CN"/>
              </w:rPr>
            </w:pPr>
          </w:p>
        </w:tc>
        <w:tc>
          <w:tcPr>
            <w:tcW w:w="2623" w:type="dxa"/>
            <w:vAlign w:val="center"/>
          </w:tcPr>
          <w:p w14:paraId="0A774475">
            <w:pPr>
              <w:jc w:val="center"/>
              <w:rPr>
                <w:rFonts w:hint="default"/>
                <w:color w:val="auto"/>
                <w:sz w:val="24"/>
                <w:szCs w:val="24"/>
                <w:vertAlign w:val="baseline"/>
                <w:lang w:val="en-US" w:eastAsia="zh-CN"/>
              </w:rPr>
            </w:pPr>
          </w:p>
        </w:tc>
        <w:tc>
          <w:tcPr>
            <w:tcW w:w="824" w:type="dxa"/>
            <w:vAlign w:val="center"/>
          </w:tcPr>
          <w:p w14:paraId="45F279A0">
            <w:pPr>
              <w:jc w:val="center"/>
              <w:rPr>
                <w:rFonts w:hint="default"/>
                <w:color w:val="auto"/>
                <w:sz w:val="24"/>
                <w:szCs w:val="24"/>
                <w:vertAlign w:val="baseline"/>
                <w:lang w:val="en-US" w:eastAsia="zh-CN"/>
              </w:rPr>
            </w:pPr>
          </w:p>
        </w:tc>
        <w:tc>
          <w:tcPr>
            <w:tcW w:w="1340" w:type="dxa"/>
            <w:vAlign w:val="center"/>
          </w:tcPr>
          <w:p w14:paraId="6BF2910C">
            <w:pPr>
              <w:jc w:val="center"/>
              <w:rPr>
                <w:rFonts w:hint="default"/>
                <w:color w:val="auto"/>
                <w:sz w:val="24"/>
                <w:szCs w:val="24"/>
                <w:vertAlign w:val="baseline"/>
                <w:lang w:val="en-US" w:eastAsia="zh-CN"/>
              </w:rPr>
            </w:pPr>
          </w:p>
        </w:tc>
      </w:tr>
      <w:tr w14:paraId="55AC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62B141BA">
            <w:pPr>
              <w:jc w:val="center"/>
              <w:rPr>
                <w:rFonts w:hint="default"/>
                <w:color w:val="auto"/>
                <w:sz w:val="24"/>
                <w:szCs w:val="24"/>
                <w:vertAlign w:val="baseline"/>
                <w:lang w:val="en-US" w:eastAsia="zh-CN"/>
              </w:rPr>
            </w:pPr>
          </w:p>
        </w:tc>
        <w:tc>
          <w:tcPr>
            <w:tcW w:w="2287" w:type="dxa"/>
            <w:vAlign w:val="center"/>
          </w:tcPr>
          <w:p w14:paraId="708792C2">
            <w:pPr>
              <w:jc w:val="center"/>
              <w:rPr>
                <w:rFonts w:hint="default"/>
                <w:color w:val="auto"/>
                <w:sz w:val="24"/>
                <w:szCs w:val="24"/>
                <w:vertAlign w:val="baseline"/>
                <w:lang w:val="en-US" w:eastAsia="zh-CN"/>
              </w:rPr>
            </w:pPr>
          </w:p>
        </w:tc>
        <w:tc>
          <w:tcPr>
            <w:tcW w:w="1474" w:type="dxa"/>
            <w:vAlign w:val="center"/>
          </w:tcPr>
          <w:p w14:paraId="72509097">
            <w:pPr>
              <w:jc w:val="center"/>
              <w:rPr>
                <w:rFonts w:hint="default"/>
                <w:color w:val="auto"/>
                <w:sz w:val="24"/>
                <w:szCs w:val="24"/>
                <w:vertAlign w:val="baseline"/>
                <w:lang w:val="en-US" w:eastAsia="zh-CN"/>
              </w:rPr>
            </w:pPr>
          </w:p>
        </w:tc>
        <w:tc>
          <w:tcPr>
            <w:tcW w:w="2623" w:type="dxa"/>
            <w:vAlign w:val="center"/>
          </w:tcPr>
          <w:p w14:paraId="35BD6724">
            <w:pPr>
              <w:jc w:val="center"/>
              <w:rPr>
                <w:rFonts w:hint="default"/>
                <w:color w:val="auto"/>
                <w:sz w:val="24"/>
                <w:szCs w:val="24"/>
                <w:vertAlign w:val="baseline"/>
                <w:lang w:val="en-US" w:eastAsia="zh-CN"/>
              </w:rPr>
            </w:pPr>
          </w:p>
        </w:tc>
        <w:tc>
          <w:tcPr>
            <w:tcW w:w="824" w:type="dxa"/>
            <w:vAlign w:val="center"/>
          </w:tcPr>
          <w:p w14:paraId="6837185E">
            <w:pPr>
              <w:jc w:val="center"/>
              <w:rPr>
                <w:rFonts w:hint="default"/>
                <w:color w:val="auto"/>
                <w:sz w:val="24"/>
                <w:szCs w:val="24"/>
                <w:vertAlign w:val="baseline"/>
                <w:lang w:val="en-US" w:eastAsia="zh-CN"/>
              </w:rPr>
            </w:pPr>
          </w:p>
        </w:tc>
        <w:tc>
          <w:tcPr>
            <w:tcW w:w="1340" w:type="dxa"/>
            <w:vAlign w:val="center"/>
          </w:tcPr>
          <w:p w14:paraId="19ED831C">
            <w:pPr>
              <w:jc w:val="center"/>
              <w:rPr>
                <w:rFonts w:hint="default"/>
                <w:color w:val="auto"/>
                <w:sz w:val="24"/>
                <w:szCs w:val="24"/>
                <w:vertAlign w:val="baseline"/>
                <w:lang w:val="en-US" w:eastAsia="zh-CN"/>
              </w:rPr>
            </w:pPr>
          </w:p>
        </w:tc>
      </w:tr>
      <w:tr w14:paraId="16ED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4EB8CE1">
            <w:pPr>
              <w:jc w:val="center"/>
              <w:rPr>
                <w:rFonts w:hint="default"/>
                <w:color w:val="auto"/>
                <w:sz w:val="24"/>
                <w:szCs w:val="24"/>
                <w:vertAlign w:val="baseline"/>
                <w:lang w:val="en-US" w:eastAsia="zh-CN"/>
              </w:rPr>
            </w:pPr>
          </w:p>
        </w:tc>
        <w:tc>
          <w:tcPr>
            <w:tcW w:w="2287" w:type="dxa"/>
            <w:vAlign w:val="center"/>
          </w:tcPr>
          <w:p w14:paraId="61278BFD">
            <w:pPr>
              <w:jc w:val="center"/>
              <w:rPr>
                <w:rFonts w:hint="default"/>
                <w:color w:val="auto"/>
                <w:sz w:val="24"/>
                <w:szCs w:val="24"/>
                <w:vertAlign w:val="baseline"/>
                <w:lang w:val="en-US" w:eastAsia="zh-CN"/>
              </w:rPr>
            </w:pPr>
          </w:p>
        </w:tc>
        <w:tc>
          <w:tcPr>
            <w:tcW w:w="1474" w:type="dxa"/>
            <w:vAlign w:val="center"/>
          </w:tcPr>
          <w:p w14:paraId="3AA34461">
            <w:pPr>
              <w:jc w:val="center"/>
              <w:rPr>
                <w:rFonts w:hint="default"/>
                <w:color w:val="auto"/>
                <w:sz w:val="24"/>
                <w:szCs w:val="24"/>
                <w:vertAlign w:val="baseline"/>
                <w:lang w:val="en-US" w:eastAsia="zh-CN"/>
              </w:rPr>
            </w:pPr>
          </w:p>
        </w:tc>
        <w:tc>
          <w:tcPr>
            <w:tcW w:w="2623" w:type="dxa"/>
            <w:vAlign w:val="center"/>
          </w:tcPr>
          <w:p w14:paraId="68936198">
            <w:pPr>
              <w:jc w:val="center"/>
              <w:rPr>
                <w:rFonts w:hint="default"/>
                <w:color w:val="auto"/>
                <w:sz w:val="24"/>
                <w:szCs w:val="24"/>
                <w:vertAlign w:val="baseline"/>
                <w:lang w:val="en-US" w:eastAsia="zh-CN"/>
              </w:rPr>
            </w:pPr>
          </w:p>
        </w:tc>
        <w:tc>
          <w:tcPr>
            <w:tcW w:w="824" w:type="dxa"/>
            <w:vAlign w:val="center"/>
          </w:tcPr>
          <w:p w14:paraId="730E159D">
            <w:pPr>
              <w:jc w:val="center"/>
              <w:rPr>
                <w:rFonts w:hint="default"/>
                <w:color w:val="auto"/>
                <w:sz w:val="24"/>
                <w:szCs w:val="24"/>
                <w:vertAlign w:val="baseline"/>
                <w:lang w:val="en-US" w:eastAsia="zh-CN"/>
              </w:rPr>
            </w:pPr>
          </w:p>
        </w:tc>
        <w:tc>
          <w:tcPr>
            <w:tcW w:w="1340" w:type="dxa"/>
            <w:vAlign w:val="center"/>
          </w:tcPr>
          <w:p w14:paraId="2F28BB1E">
            <w:pPr>
              <w:jc w:val="center"/>
              <w:rPr>
                <w:rFonts w:hint="default"/>
                <w:color w:val="auto"/>
                <w:sz w:val="24"/>
                <w:szCs w:val="24"/>
                <w:vertAlign w:val="baseline"/>
                <w:lang w:val="en-US" w:eastAsia="zh-CN"/>
              </w:rPr>
            </w:pPr>
          </w:p>
        </w:tc>
      </w:tr>
      <w:tr w14:paraId="35A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52267534">
            <w:pPr>
              <w:jc w:val="center"/>
              <w:rPr>
                <w:rFonts w:hint="default"/>
                <w:color w:val="auto"/>
                <w:sz w:val="24"/>
                <w:szCs w:val="24"/>
                <w:vertAlign w:val="baseline"/>
                <w:lang w:val="en-US" w:eastAsia="zh-CN"/>
              </w:rPr>
            </w:pPr>
          </w:p>
        </w:tc>
        <w:tc>
          <w:tcPr>
            <w:tcW w:w="2287" w:type="dxa"/>
            <w:vAlign w:val="center"/>
          </w:tcPr>
          <w:p w14:paraId="5B29461F">
            <w:pPr>
              <w:jc w:val="center"/>
              <w:rPr>
                <w:rFonts w:hint="default"/>
                <w:color w:val="auto"/>
                <w:sz w:val="24"/>
                <w:szCs w:val="24"/>
                <w:vertAlign w:val="baseline"/>
                <w:lang w:val="en-US" w:eastAsia="zh-CN"/>
              </w:rPr>
            </w:pPr>
          </w:p>
        </w:tc>
        <w:tc>
          <w:tcPr>
            <w:tcW w:w="1474" w:type="dxa"/>
            <w:vAlign w:val="center"/>
          </w:tcPr>
          <w:p w14:paraId="7F14E6E2">
            <w:pPr>
              <w:jc w:val="center"/>
              <w:rPr>
                <w:rFonts w:hint="default"/>
                <w:color w:val="auto"/>
                <w:sz w:val="24"/>
                <w:szCs w:val="24"/>
                <w:vertAlign w:val="baseline"/>
                <w:lang w:val="en-US" w:eastAsia="zh-CN"/>
              </w:rPr>
            </w:pPr>
          </w:p>
        </w:tc>
        <w:tc>
          <w:tcPr>
            <w:tcW w:w="2623" w:type="dxa"/>
            <w:vAlign w:val="center"/>
          </w:tcPr>
          <w:p w14:paraId="4E4979D4">
            <w:pPr>
              <w:jc w:val="center"/>
              <w:rPr>
                <w:rFonts w:hint="default"/>
                <w:color w:val="auto"/>
                <w:sz w:val="24"/>
                <w:szCs w:val="24"/>
                <w:vertAlign w:val="baseline"/>
                <w:lang w:val="en-US" w:eastAsia="zh-CN"/>
              </w:rPr>
            </w:pPr>
          </w:p>
        </w:tc>
        <w:tc>
          <w:tcPr>
            <w:tcW w:w="824" w:type="dxa"/>
            <w:vAlign w:val="center"/>
          </w:tcPr>
          <w:p w14:paraId="7020992A">
            <w:pPr>
              <w:jc w:val="center"/>
              <w:rPr>
                <w:rFonts w:hint="default"/>
                <w:color w:val="auto"/>
                <w:sz w:val="24"/>
                <w:szCs w:val="24"/>
                <w:vertAlign w:val="baseline"/>
                <w:lang w:val="en-US" w:eastAsia="zh-CN"/>
              </w:rPr>
            </w:pPr>
          </w:p>
        </w:tc>
        <w:tc>
          <w:tcPr>
            <w:tcW w:w="1340" w:type="dxa"/>
            <w:vAlign w:val="center"/>
          </w:tcPr>
          <w:p w14:paraId="53D63971">
            <w:pPr>
              <w:jc w:val="center"/>
              <w:rPr>
                <w:rFonts w:hint="default"/>
                <w:color w:val="auto"/>
                <w:sz w:val="24"/>
                <w:szCs w:val="24"/>
                <w:vertAlign w:val="baseline"/>
                <w:lang w:val="en-US" w:eastAsia="zh-CN"/>
              </w:rPr>
            </w:pPr>
          </w:p>
        </w:tc>
      </w:tr>
      <w:tr w14:paraId="07D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14C3634B">
            <w:pPr>
              <w:jc w:val="center"/>
              <w:rPr>
                <w:rFonts w:hint="default"/>
                <w:color w:val="auto"/>
                <w:sz w:val="24"/>
                <w:szCs w:val="24"/>
                <w:vertAlign w:val="baseline"/>
                <w:lang w:val="en-US" w:eastAsia="zh-CN"/>
              </w:rPr>
            </w:pPr>
          </w:p>
        </w:tc>
        <w:tc>
          <w:tcPr>
            <w:tcW w:w="2287" w:type="dxa"/>
            <w:vAlign w:val="center"/>
          </w:tcPr>
          <w:p w14:paraId="4F8BD04A">
            <w:pPr>
              <w:jc w:val="center"/>
              <w:rPr>
                <w:rFonts w:hint="default"/>
                <w:color w:val="auto"/>
                <w:sz w:val="24"/>
                <w:szCs w:val="24"/>
                <w:vertAlign w:val="baseline"/>
                <w:lang w:val="en-US" w:eastAsia="zh-CN"/>
              </w:rPr>
            </w:pPr>
          </w:p>
        </w:tc>
        <w:tc>
          <w:tcPr>
            <w:tcW w:w="1474" w:type="dxa"/>
            <w:vAlign w:val="center"/>
          </w:tcPr>
          <w:p w14:paraId="396C98B4">
            <w:pPr>
              <w:jc w:val="center"/>
              <w:rPr>
                <w:rFonts w:hint="default"/>
                <w:color w:val="auto"/>
                <w:sz w:val="24"/>
                <w:szCs w:val="24"/>
                <w:vertAlign w:val="baseline"/>
                <w:lang w:val="en-US" w:eastAsia="zh-CN"/>
              </w:rPr>
            </w:pPr>
          </w:p>
        </w:tc>
        <w:tc>
          <w:tcPr>
            <w:tcW w:w="2623" w:type="dxa"/>
            <w:vAlign w:val="center"/>
          </w:tcPr>
          <w:p w14:paraId="3F8B1FEE">
            <w:pPr>
              <w:jc w:val="center"/>
              <w:rPr>
                <w:rFonts w:hint="default"/>
                <w:color w:val="auto"/>
                <w:sz w:val="24"/>
                <w:szCs w:val="24"/>
                <w:vertAlign w:val="baseline"/>
                <w:lang w:val="en-US" w:eastAsia="zh-CN"/>
              </w:rPr>
            </w:pPr>
          </w:p>
        </w:tc>
        <w:tc>
          <w:tcPr>
            <w:tcW w:w="824" w:type="dxa"/>
            <w:vAlign w:val="center"/>
          </w:tcPr>
          <w:p w14:paraId="604AC7E1">
            <w:pPr>
              <w:jc w:val="center"/>
              <w:rPr>
                <w:rFonts w:hint="default"/>
                <w:color w:val="auto"/>
                <w:sz w:val="24"/>
                <w:szCs w:val="24"/>
                <w:vertAlign w:val="baseline"/>
                <w:lang w:val="en-US" w:eastAsia="zh-CN"/>
              </w:rPr>
            </w:pPr>
          </w:p>
        </w:tc>
        <w:tc>
          <w:tcPr>
            <w:tcW w:w="1340" w:type="dxa"/>
            <w:vAlign w:val="center"/>
          </w:tcPr>
          <w:p w14:paraId="10CD0ECB">
            <w:pPr>
              <w:jc w:val="center"/>
              <w:rPr>
                <w:rFonts w:hint="default"/>
                <w:color w:val="auto"/>
                <w:sz w:val="24"/>
                <w:szCs w:val="24"/>
                <w:vertAlign w:val="baseline"/>
                <w:lang w:val="en-US" w:eastAsia="zh-CN"/>
              </w:rPr>
            </w:pPr>
          </w:p>
        </w:tc>
      </w:tr>
      <w:tr w14:paraId="56B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FBAFA98">
            <w:pPr>
              <w:jc w:val="center"/>
              <w:rPr>
                <w:rFonts w:hint="default"/>
                <w:color w:val="auto"/>
                <w:sz w:val="24"/>
                <w:szCs w:val="24"/>
                <w:vertAlign w:val="baseline"/>
                <w:lang w:val="en-US" w:eastAsia="zh-CN"/>
              </w:rPr>
            </w:pPr>
          </w:p>
        </w:tc>
        <w:tc>
          <w:tcPr>
            <w:tcW w:w="2287" w:type="dxa"/>
            <w:vAlign w:val="center"/>
          </w:tcPr>
          <w:p w14:paraId="7CE92A58">
            <w:pPr>
              <w:jc w:val="center"/>
              <w:rPr>
                <w:rFonts w:hint="default"/>
                <w:color w:val="auto"/>
                <w:sz w:val="24"/>
                <w:szCs w:val="24"/>
                <w:vertAlign w:val="baseline"/>
                <w:lang w:val="en-US" w:eastAsia="zh-CN"/>
              </w:rPr>
            </w:pPr>
          </w:p>
        </w:tc>
        <w:tc>
          <w:tcPr>
            <w:tcW w:w="1474" w:type="dxa"/>
            <w:vAlign w:val="center"/>
          </w:tcPr>
          <w:p w14:paraId="186DB5F3">
            <w:pPr>
              <w:jc w:val="center"/>
              <w:rPr>
                <w:rFonts w:hint="default"/>
                <w:color w:val="auto"/>
                <w:sz w:val="24"/>
                <w:szCs w:val="24"/>
                <w:vertAlign w:val="baseline"/>
                <w:lang w:val="en-US" w:eastAsia="zh-CN"/>
              </w:rPr>
            </w:pPr>
          </w:p>
        </w:tc>
        <w:tc>
          <w:tcPr>
            <w:tcW w:w="2623" w:type="dxa"/>
            <w:vAlign w:val="center"/>
          </w:tcPr>
          <w:p w14:paraId="7EB0E816">
            <w:pPr>
              <w:jc w:val="center"/>
              <w:rPr>
                <w:rFonts w:hint="default"/>
                <w:color w:val="auto"/>
                <w:sz w:val="24"/>
                <w:szCs w:val="24"/>
                <w:vertAlign w:val="baseline"/>
                <w:lang w:val="en-US" w:eastAsia="zh-CN"/>
              </w:rPr>
            </w:pPr>
          </w:p>
        </w:tc>
        <w:tc>
          <w:tcPr>
            <w:tcW w:w="824" w:type="dxa"/>
            <w:vAlign w:val="center"/>
          </w:tcPr>
          <w:p w14:paraId="46BEE91B">
            <w:pPr>
              <w:jc w:val="center"/>
              <w:rPr>
                <w:rFonts w:hint="default"/>
                <w:color w:val="auto"/>
                <w:sz w:val="24"/>
                <w:szCs w:val="24"/>
                <w:vertAlign w:val="baseline"/>
                <w:lang w:val="en-US" w:eastAsia="zh-CN"/>
              </w:rPr>
            </w:pPr>
          </w:p>
        </w:tc>
        <w:tc>
          <w:tcPr>
            <w:tcW w:w="1340" w:type="dxa"/>
            <w:vAlign w:val="center"/>
          </w:tcPr>
          <w:p w14:paraId="0E02AD8F">
            <w:pPr>
              <w:jc w:val="center"/>
              <w:rPr>
                <w:rFonts w:hint="default"/>
                <w:color w:val="auto"/>
                <w:sz w:val="24"/>
                <w:szCs w:val="24"/>
                <w:vertAlign w:val="baseline"/>
                <w:lang w:val="en-US" w:eastAsia="zh-CN"/>
              </w:rPr>
            </w:pPr>
          </w:p>
        </w:tc>
      </w:tr>
      <w:tr w14:paraId="4EE2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7AE01600">
            <w:pPr>
              <w:jc w:val="center"/>
              <w:rPr>
                <w:rFonts w:hint="default"/>
                <w:color w:val="auto"/>
                <w:sz w:val="24"/>
                <w:szCs w:val="24"/>
                <w:vertAlign w:val="baseline"/>
                <w:lang w:val="en-US" w:eastAsia="zh-CN"/>
              </w:rPr>
            </w:pPr>
          </w:p>
        </w:tc>
        <w:tc>
          <w:tcPr>
            <w:tcW w:w="2287" w:type="dxa"/>
            <w:vAlign w:val="center"/>
          </w:tcPr>
          <w:p w14:paraId="270486B6">
            <w:pPr>
              <w:jc w:val="center"/>
              <w:rPr>
                <w:rFonts w:hint="default"/>
                <w:color w:val="auto"/>
                <w:sz w:val="24"/>
                <w:szCs w:val="24"/>
                <w:vertAlign w:val="baseline"/>
                <w:lang w:val="en-US" w:eastAsia="zh-CN"/>
              </w:rPr>
            </w:pPr>
          </w:p>
        </w:tc>
        <w:tc>
          <w:tcPr>
            <w:tcW w:w="1474" w:type="dxa"/>
            <w:vAlign w:val="center"/>
          </w:tcPr>
          <w:p w14:paraId="3A6F9BD3">
            <w:pPr>
              <w:jc w:val="center"/>
              <w:rPr>
                <w:rFonts w:hint="default"/>
                <w:color w:val="auto"/>
                <w:sz w:val="24"/>
                <w:szCs w:val="24"/>
                <w:vertAlign w:val="baseline"/>
                <w:lang w:val="en-US" w:eastAsia="zh-CN"/>
              </w:rPr>
            </w:pPr>
          </w:p>
        </w:tc>
        <w:tc>
          <w:tcPr>
            <w:tcW w:w="2623" w:type="dxa"/>
            <w:vAlign w:val="center"/>
          </w:tcPr>
          <w:p w14:paraId="636F5DC2">
            <w:pPr>
              <w:jc w:val="center"/>
              <w:rPr>
                <w:rFonts w:hint="default"/>
                <w:color w:val="auto"/>
                <w:sz w:val="24"/>
                <w:szCs w:val="24"/>
                <w:vertAlign w:val="baseline"/>
                <w:lang w:val="en-US" w:eastAsia="zh-CN"/>
              </w:rPr>
            </w:pPr>
          </w:p>
        </w:tc>
        <w:tc>
          <w:tcPr>
            <w:tcW w:w="824" w:type="dxa"/>
            <w:vAlign w:val="center"/>
          </w:tcPr>
          <w:p w14:paraId="60423D0D">
            <w:pPr>
              <w:jc w:val="center"/>
              <w:rPr>
                <w:rFonts w:hint="default"/>
                <w:color w:val="auto"/>
                <w:sz w:val="24"/>
                <w:szCs w:val="24"/>
                <w:vertAlign w:val="baseline"/>
                <w:lang w:val="en-US" w:eastAsia="zh-CN"/>
              </w:rPr>
            </w:pPr>
          </w:p>
        </w:tc>
        <w:tc>
          <w:tcPr>
            <w:tcW w:w="1340" w:type="dxa"/>
            <w:vAlign w:val="center"/>
          </w:tcPr>
          <w:p w14:paraId="6D65524F">
            <w:pPr>
              <w:jc w:val="center"/>
              <w:rPr>
                <w:rFonts w:hint="default"/>
                <w:color w:val="auto"/>
                <w:sz w:val="24"/>
                <w:szCs w:val="24"/>
                <w:vertAlign w:val="baseline"/>
                <w:lang w:val="en-US" w:eastAsia="zh-CN"/>
              </w:rPr>
            </w:pPr>
          </w:p>
        </w:tc>
      </w:tr>
      <w:tr w14:paraId="4315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681EC9C8">
            <w:pPr>
              <w:jc w:val="center"/>
              <w:rPr>
                <w:rFonts w:hint="default"/>
                <w:color w:val="auto"/>
                <w:sz w:val="24"/>
                <w:szCs w:val="24"/>
                <w:vertAlign w:val="baseline"/>
                <w:lang w:val="en-US" w:eastAsia="zh-CN"/>
              </w:rPr>
            </w:pPr>
          </w:p>
        </w:tc>
        <w:tc>
          <w:tcPr>
            <w:tcW w:w="2287" w:type="dxa"/>
            <w:vAlign w:val="center"/>
          </w:tcPr>
          <w:p w14:paraId="0C4E5C65">
            <w:pPr>
              <w:jc w:val="center"/>
              <w:rPr>
                <w:rFonts w:hint="default"/>
                <w:color w:val="auto"/>
                <w:sz w:val="24"/>
                <w:szCs w:val="24"/>
                <w:vertAlign w:val="baseline"/>
                <w:lang w:val="en-US" w:eastAsia="zh-CN"/>
              </w:rPr>
            </w:pPr>
          </w:p>
        </w:tc>
        <w:tc>
          <w:tcPr>
            <w:tcW w:w="1474" w:type="dxa"/>
            <w:vAlign w:val="center"/>
          </w:tcPr>
          <w:p w14:paraId="771392BE">
            <w:pPr>
              <w:jc w:val="center"/>
              <w:rPr>
                <w:rFonts w:hint="default"/>
                <w:color w:val="auto"/>
                <w:sz w:val="24"/>
                <w:szCs w:val="24"/>
                <w:vertAlign w:val="baseline"/>
                <w:lang w:val="en-US" w:eastAsia="zh-CN"/>
              </w:rPr>
            </w:pPr>
          </w:p>
        </w:tc>
        <w:tc>
          <w:tcPr>
            <w:tcW w:w="2623" w:type="dxa"/>
            <w:vAlign w:val="center"/>
          </w:tcPr>
          <w:p w14:paraId="52DAF804">
            <w:pPr>
              <w:jc w:val="center"/>
              <w:rPr>
                <w:rFonts w:hint="default"/>
                <w:color w:val="auto"/>
                <w:sz w:val="24"/>
                <w:szCs w:val="24"/>
                <w:vertAlign w:val="baseline"/>
                <w:lang w:val="en-US" w:eastAsia="zh-CN"/>
              </w:rPr>
            </w:pPr>
          </w:p>
        </w:tc>
        <w:tc>
          <w:tcPr>
            <w:tcW w:w="824" w:type="dxa"/>
            <w:vAlign w:val="center"/>
          </w:tcPr>
          <w:p w14:paraId="4EEE6CA4">
            <w:pPr>
              <w:jc w:val="center"/>
              <w:rPr>
                <w:rFonts w:hint="default"/>
                <w:color w:val="auto"/>
                <w:sz w:val="24"/>
                <w:szCs w:val="24"/>
                <w:vertAlign w:val="baseline"/>
                <w:lang w:val="en-US" w:eastAsia="zh-CN"/>
              </w:rPr>
            </w:pPr>
          </w:p>
        </w:tc>
        <w:tc>
          <w:tcPr>
            <w:tcW w:w="1340" w:type="dxa"/>
            <w:vAlign w:val="center"/>
          </w:tcPr>
          <w:p w14:paraId="4C56514A">
            <w:pPr>
              <w:jc w:val="center"/>
              <w:rPr>
                <w:rFonts w:hint="default"/>
                <w:color w:val="auto"/>
                <w:sz w:val="24"/>
                <w:szCs w:val="24"/>
                <w:vertAlign w:val="baseline"/>
                <w:lang w:val="en-US" w:eastAsia="zh-CN"/>
              </w:rPr>
            </w:pPr>
          </w:p>
        </w:tc>
      </w:tr>
      <w:tr w14:paraId="7D05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B727262">
            <w:pPr>
              <w:jc w:val="center"/>
              <w:rPr>
                <w:rFonts w:hint="default"/>
                <w:color w:val="auto"/>
                <w:sz w:val="24"/>
                <w:szCs w:val="24"/>
                <w:vertAlign w:val="baseline"/>
                <w:lang w:val="en-US" w:eastAsia="zh-CN"/>
              </w:rPr>
            </w:pPr>
          </w:p>
        </w:tc>
        <w:tc>
          <w:tcPr>
            <w:tcW w:w="2287" w:type="dxa"/>
            <w:vAlign w:val="center"/>
          </w:tcPr>
          <w:p w14:paraId="2A4D55E3">
            <w:pPr>
              <w:jc w:val="center"/>
              <w:rPr>
                <w:rFonts w:hint="default"/>
                <w:color w:val="auto"/>
                <w:sz w:val="24"/>
                <w:szCs w:val="24"/>
                <w:vertAlign w:val="baseline"/>
                <w:lang w:val="en-US" w:eastAsia="zh-CN"/>
              </w:rPr>
            </w:pPr>
          </w:p>
        </w:tc>
        <w:tc>
          <w:tcPr>
            <w:tcW w:w="1474" w:type="dxa"/>
            <w:vAlign w:val="center"/>
          </w:tcPr>
          <w:p w14:paraId="4B3B3913">
            <w:pPr>
              <w:jc w:val="center"/>
              <w:rPr>
                <w:rFonts w:hint="default"/>
                <w:color w:val="auto"/>
                <w:sz w:val="24"/>
                <w:szCs w:val="24"/>
                <w:vertAlign w:val="baseline"/>
                <w:lang w:val="en-US" w:eastAsia="zh-CN"/>
              </w:rPr>
            </w:pPr>
          </w:p>
        </w:tc>
        <w:tc>
          <w:tcPr>
            <w:tcW w:w="2623" w:type="dxa"/>
            <w:vAlign w:val="center"/>
          </w:tcPr>
          <w:p w14:paraId="721B9B6B">
            <w:pPr>
              <w:jc w:val="center"/>
              <w:rPr>
                <w:rFonts w:hint="default"/>
                <w:color w:val="auto"/>
                <w:sz w:val="24"/>
                <w:szCs w:val="24"/>
                <w:vertAlign w:val="baseline"/>
                <w:lang w:val="en-US" w:eastAsia="zh-CN"/>
              </w:rPr>
            </w:pPr>
          </w:p>
        </w:tc>
        <w:tc>
          <w:tcPr>
            <w:tcW w:w="824" w:type="dxa"/>
            <w:vAlign w:val="center"/>
          </w:tcPr>
          <w:p w14:paraId="2DC7E6BB">
            <w:pPr>
              <w:jc w:val="center"/>
              <w:rPr>
                <w:rFonts w:hint="default"/>
                <w:color w:val="auto"/>
                <w:sz w:val="24"/>
                <w:szCs w:val="24"/>
                <w:vertAlign w:val="baseline"/>
                <w:lang w:val="en-US" w:eastAsia="zh-CN"/>
              </w:rPr>
            </w:pPr>
          </w:p>
        </w:tc>
        <w:tc>
          <w:tcPr>
            <w:tcW w:w="1340" w:type="dxa"/>
            <w:vAlign w:val="center"/>
          </w:tcPr>
          <w:p w14:paraId="2112257C">
            <w:pPr>
              <w:jc w:val="center"/>
              <w:rPr>
                <w:rFonts w:hint="default"/>
                <w:color w:val="auto"/>
                <w:sz w:val="24"/>
                <w:szCs w:val="24"/>
                <w:vertAlign w:val="baseline"/>
                <w:lang w:val="en-US" w:eastAsia="zh-CN"/>
              </w:rPr>
            </w:pPr>
          </w:p>
        </w:tc>
      </w:tr>
      <w:tr w14:paraId="0516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A7E8CD5">
            <w:pPr>
              <w:jc w:val="center"/>
              <w:rPr>
                <w:rFonts w:hint="default"/>
                <w:color w:val="auto"/>
                <w:sz w:val="24"/>
                <w:szCs w:val="24"/>
                <w:vertAlign w:val="baseline"/>
                <w:lang w:val="en-US" w:eastAsia="zh-CN"/>
              </w:rPr>
            </w:pPr>
          </w:p>
        </w:tc>
        <w:tc>
          <w:tcPr>
            <w:tcW w:w="2287" w:type="dxa"/>
            <w:vAlign w:val="center"/>
          </w:tcPr>
          <w:p w14:paraId="2E01A0C3">
            <w:pPr>
              <w:jc w:val="center"/>
              <w:rPr>
                <w:rFonts w:hint="default"/>
                <w:color w:val="auto"/>
                <w:sz w:val="24"/>
                <w:szCs w:val="24"/>
                <w:vertAlign w:val="baseline"/>
                <w:lang w:val="en-US" w:eastAsia="zh-CN"/>
              </w:rPr>
            </w:pPr>
          </w:p>
        </w:tc>
        <w:tc>
          <w:tcPr>
            <w:tcW w:w="1474" w:type="dxa"/>
            <w:vAlign w:val="center"/>
          </w:tcPr>
          <w:p w14:paraId="485602F7">
            <w:pPr>
              <w:jc w:val="center"/>
              <w:rPr>
                <w:rFonts w:hint="default"/>
                <w:color w:val="auto"/>
                <w:sz w:val="24"/>
                <w:szCs w:val="24"/>
                <w:vertAlign w:val="baseline"/>
                <w:lang w:val="en-US" w:eastAsia="zh-CN"/>
              </w:rPr>
            </w:pPr>
          </w:p>
        </w:tc>
        <w:tc>
          <w:tcPr>
            <w:tcW w:w="2623" w:type="dxa"/>
            <w:vAlign w:val="center"/>
          </w:tcPr>
          <w:p w14:paraId="4F69FE11">
            <w:pPr>
              <w:jc w:val="center"/>
              <w:rPr>
                <w:rFonts w:hint="default"/>
                <w:color w:val="auto"/>
                <w:sz w:val="24"/>
                <w:szCs w:val="24"/>
                <w:vertAlign w:val="baseline"/>
                <w:lang w:val="en-US" w:eastAsia="zh-CN"/>
              </w:rPr>
            </w:pPr>
          </w:p>
        </w:tc>
        <w:tc>
          <w:tcPr>
            <w:tcW w:w="824" w:type="dxa"/>
            <w:vAlign w:val="center"/>
          </w:tcPr>
          <w:p w14:paraId="1018F96F">
            <w:pPr>
              <w:jc w:val="center"/>
              <w:rPr>
                <w:rFonts w:hint="default"/>
                <w:color w:val="auto"/>
                <w:sz w:val="24"/>
                <w:szCs w:val="24"/>
                <w:vertAlign w:val="baseline"/>
                <w:lang w:val="en-US" w:eastAsia="zh-CN"/>
              </w:rPr>
            </w:pPr>
          </w:p>
        </w:tc>
        <w:tc>
          <w:tcPr>
            <w:tcW w:w="1340" w:type="dxa"/>
            <w:vAlign w:val="center"/>
          </w:tcPr>
          <w:p w14:paraId="31F70B8F">
            <w:pPr>
              <w:jc w:val="center"/>
              <w:rPr>
                <w:rFonts w:hint="default"/>
                <w:color w:val="auto"/>
                <w:sz w:val="24"/>
                <w:szCs w:val="24"/>
                <w:vertAlign w:val="baseline"/>
                <w:lang w:val="en-US" w:eastAsia="zh-CN"/>
              </w:rPr>
            </w:pPr>
          </w:p>
        </w:tc>
      </w:tr>
    </w:tbl>
    <w:p w14:paraId="779C1979">
      <w:pPr>
        <w:pStyle w:val="8"/>
        <w:numPr>
          <w:ilvl w:val="0"/>
          <w:numId w:val="2"/>
        </w:numPr>
        <w:spacing w:line="360" w:lineRule="auto"/>
        <w:ind w:left="0" w:leftChars="0" w:firstLine="0" w:firstLineChars="0"/>
        <w:rPr>
          <w:rFonts w:hint="eastAsia" w:ascii="仿宋" w:hAnsi="仿宋" w:eastAsia="仿宋" w:cs="仿宋"/>
          <w:color w:val="auto"/>
          <w:sz w:val="28"/>
          <w:szCs w:val="28"/>
          <w:highlight w:val="none"/>
        </w:rPr>
        <w:sectPr>
          <w:pgSz w:w="11906" w:h="16838"/>
          <w:pgMar w:top="1440" w:right="1800" w:bottom="1440" w:left="1800" w:header="851" w:footer="992" w:gutter="0"/>
          <w:cols w:space="425" w:num="1"/>
          <w:docGrid w:type="lines" w:linePitch="312" w:charSpace="0"/>
        </w:sectPr>
      </w:pPr>
    </w:p>
    <w:p w14:paraId="5E6A95B7">
      <w:pPr>
        <w:pStyle w:val="8"/>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项目地点：上海市静安区长乐路536号。</w:t>
      </w:r>
    </w:p>
    <w:p w14:paraId="28749D40">
      <w:pPr>
        <w:pStyle w:val="8"/>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项目限价：</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万元。</w:t>
      </w:r>
    </w:p>
    <w:p w14:paraId="5CCFAE85">
      <w:pPr>
        <w:pStyle w:val="8"/>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服务期限：</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rPr>
        <w:t>2026</w:t>
      </w:r>
      <w:r>
        <w:rPr>
          <w:rFonts w:hint="eastAsia" w:ascii="仿宋" w:hAnsi="仿宋" w:eastAsia="仿宋" w:cs="仿宋"/>
          <w:color w:val="auto"/>
          <w:sz w:val="28"/>
          <w:szCs w:val="28"/>
          <w:highlight w:val="none"/>
          <w:lang w:val="en-US" w:eastAsia="zh-CN"/>
        </w:rPr>
        <w:t>年1月1日</w:t>
      </w:r>
      <w:r>
        <w:rPr>
          <w:rFonts w:hint="eastAsia" w:ascii="仿宋" w:hAnsi="仿宋" w:eastAsia="仿宋" w:cs="仿宋"/>
          <w:color w:val="auto"/>
          <w:sz w:val="28"/>
          <w:szCs w:val="28"/>
          <w:highlight w:val="none"/>
        </w:rPr>
        <w:t>-2026</w:t>
      </w:r>
      <w:r>
        <w:rPr>
          <w:rFonts w:hint="eastAsia" w:ascii="仿宋" w:hAnsi="仿宋" w:eastAsia="仿宋" w:cs="仿宋"/>
          <w:color w:val="auto"/>
          <w:sz w:val="28"/>
          <w:szCs w:val="28"/>
          <w:highlight w:val="none"/>
          <w:lang w:val="en-US" w:eastAsia="zh-CN"/>
        </w:rPr>
        <w:t>年12月31日</w:t>
      </w:r>
    </w:p>
    <w:p w14:paraId="6F0DA5AF">
      <w:pPr>
        <w:pStyle w:val="8"/>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6.评审办法：最低评标价法</w:t>
      </w:r>
    </w:p>
    <w:p w14:paraId="1051DCEE">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、投标单位要求</w:t>
      </w:r>
    </w:p>
    <w:p w14:paraId="1CCB273C">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1.有年检合格的工商行政管理部门核发的《企业法人营业执照》。</w:t>
      </w:r>
    </w:p>
    <w:p w14:paraId="26DD3C9A">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2.具有国家或上海市质量技术监督局颁发的特种设备生产许可证。</w:t>
      </w:r>
    </w:p>
    <w:p w14:paraId="3D318972">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3.近3年内经营及相关活动中无不良记录。</w:t>
      </w:r>
    </w:p>
    <w:p w14:paraId="375E7E34">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4.提交中国裁判文书网犯罪记录查询。</w:t>
      </w:r>
    </w:p>
    <w:p w14:paraId="6757FA58">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、投标文件要求</w:t>
      </w:r>
    </w:p>
    <w:p w14:paraId="0976123C">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参与单位的营业执照、资质及法人证书</w:t>
      </w:r>
      <w:r>
        <w:rPr>
          <w:rFonts w:hint="eastAsia" w:ascii="仿宋" w:hAnsi="仿宋" w:eastAsia="仿宋" w:cs="仿宋"/>
          <w:color w:val="auto"/>
          <w:sz w:val="28"/>
          <w:szCs w:val="28"/>
          <w:highlight w:val="none"/>
        </w:rPr>
        <w:t>。</w:t>
      </w:r>
    </w:p>
    <w:p w14:paraId="46E06CEA">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.回复文件（内容主要为报价、服务承诺、方案、项目经理简历、</w:t>
      </w:r>
      <w:r>
        <w:rPr>
          <w:rFonts w:hint="eastAsia" w:ascii="仿宋" w:hAnsi="仿宋" w:eastAsia="仿宋" w:cs="仿宋"/>
          <w:color w:val="auto"/>
          <w:sz w:val="28"/>
          <w:szCs w:val="28"/>
          <w:highlight w:val="none"/>
          <w:lang w:val="en-US" w:eastAsia="zh-CN"/>
        </w:rPr>
        <w:t>业绩证明</w:t>
      </w:r>
      <w:r>
        <w:rPr>
          <w:rFonts w:hint="eastAsia" w:ascii="仿宋" w:hAnsi="仿宋" w:eastAsia="仿宋" w:cs="仿宋"/>
          <w:color w:val="auto"/>
          <w:sz w:val="28"/>
          <w:szCs w:val="28"/>
          <w:highlight w:val="none"/>
          <w:lang w:eastAsia="zh-CN"/>
        </w:rPr>
        <w:t>等）</w:t>
      </w:r>
    </w:p>
    <w:p w14:paraId="6897C6C7">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中国裁判文书网犯罪记录查询。</w:t>
      </w:r>
      <w:r>
        <w:rPr>
          <w:rFonts w:hint="eastAsia" w:ascii="仿宋" w:hAnsi="仿宋" w:eastAsia="仿宋" w:cs="仿宋"/>
          <w:color w:val="auto"/>
          <w:sz w:val="28"/>
          <w:szCs w:val="28"/>
          <w:highlight w:val="none"/>
          <w:lang w:val="en-US" w:eastAsia="zh-CN"/>
        </w:rPr>
        <w:t>查询方式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高级检索→全文检索“（单位名称）”，</w:t>
      </w:r>
      <w:r>
        <w:rPr>
          <w:rFonts w:hint="eastAsia" w:ascii="仿宋" w:hAnsi="仿宋" w:eastAsia="仿宋" w:cs="仿宋"/>
          <w:color w:val="auto"/>
          <w:sz w:val="28"/>
          <w:szCs w:val="28"/>
          <w:highlight w:val="none"/>
          <w:lang w:eastAsia="zh-CN"/>
        </w:rPr>
        <w:t>案由</w:t>
      </w:r>
      <w:r>
        <w:rPr>
          <w:rFonts w:hint="eastAsia" w:ascii="仿宋" w:hAnsi="仿宋" w:eastAsia="仿宋" w:cs="仿宋"/>
          <w:color w:val="auto"/>
          <w:sz w:val="28"/>
          <w:szCs w:val="28"/>
          <w:highlight w:val="none"/>
          <w:lang w:val="en-US" w:eastAsia="zh-CN"/>
        </w:rPr>
        <w:t>选择“</w:t>
      </w:r>
      <w:r>
        <w:rPr>
          <w:rFonts w:hint="eastAsia" w:ascii="仿宋" w:hAnsi="仿宋" w:eastAsia="仿宋" w:cs="仿宋"/>
          <w:color w:val="auto"/>
          <w:sz w:val="28"/>
          <w:szCs w:val="28"/>
          <w:highlight w:val="none"/>
          <w:lang w:eastAsia="zh-CN"/>
        </w:rPr>
        <w:t>刑事案由</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案件类型</w:t>
      </w:r>
      <w:r>
        <w:rPr>
          <w:rFonts w:hint="eastAsia" w:ascii="仿宋" w:hAnsi="仿宋" w:eastAsia="仿宋" w:cs="仿宋"/>
          <w:color w:val="auto"/>
          <w:sz w:val="28"/>
          <w:szCs w:val="28"/>
          <w:highlight w:val="none"/>
          <w:lang w:val="en-US" w:eastAsia="zh-CN"/>
        </w:rPr>
        <w:t>选择“刑事案件”。</w:t>
      </w:r>
    </w:p>
    <w:p w14:paraId="491EAF0E">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5.法人代表委托书</w:t>
      </w:r>
    </w:p>
    <w:p w14:paraId="6B035D3D">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6.项目廉政责任书</w:t>
      </w:r>
    </w:p>
    <w:p w14:paraId="48B39588">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.同一个项目发现两家或者两家以上的报名单位，其单位法人、股东及受益人为同一人，则上述单位的投标文件作废，并列入我院黑名单。</w:t>
      </w:r>
    </w:p>
    <w:p w14:paraId="487CF18A">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10"/>
          <w:szCs w:val="10"/>
          <w:highlight w:val="none"/>
          <w:lang w:eastAsia="zh-CN"/>
        </w:rPr>
      </w:pPr>
    </w:p>
    <w:p w14:paraId="36B94EC7">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时间：2025年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 xml:space="preserve"> 下午16:00之前。</w:t>
      </w:r>
    </w:p>
    <w:p w14:paraId="7E0FF7A3">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递交地点：高科西路2699号后勤保障部。</w:t>
      </w:r>
    </w:p>
    <w:p w14:paraId="7673EF29">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rPr>
      </w:pPr>
    </w:p>
    <w:p w14:paraId="73FD3DF1">
      <w:pPr>
        <w:keepNext w:val="0"/>
        <w:keepLines w:val="0"/>
        <w:pageBreakBefore w:val="0"/>
        <w:widowControl/>
        <w:kinsoku/>
        <w:wordWrap/>
        <w:overflowPunct/>
        <w:topLinePunct w:val="0"/>
        <w:autoSpaceDE/>
        <w:autoSpaceDN/>
        <w:bidi w:val="0"/>
        <w:adjustRightInd/>
        <w:snapToGrid/>
        <w:spacing w:line="520" w:lineRule="exact"/>
        <w:ind w:left="0" w:leftChars="0" w:firstLine="3998" w:firstLineChars="1428"/>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上海市第一妇婴保健院</w:t>
      </w:r>
      <w:r>
        <w:rPr>
          <w:rFonts w:hint="eastAsia" w:ascii="仿宋" w:hAnsi="仿宋" w:eastAsia="仿宋" w:cs="仿宋"/>
          <w:color w:val="auto"/>
          <w:kern w:val="0"/>
          <w:sz w:val="28"/>
          <w:szCs w:val="28"/>
          <w:highlight w:val="none"/>
          <w:lang w:val="en-US" w:eastAsia="zh-CN"/>
        </w:rPr>
        <w:t>后勤保障部</w:t>
      </w:r>
    </w:p>
    <w:p w14:paraId="2199416D">
      <w:pPr>
        <w:keepNext w:val="0"/>
        <w:keepLines w:val="0"/>
        <w:pageBreakBefore w:val="0"/>
        <w:widowControl/>
        <w:kinsoku/>
        <w:wordWrap/>
        <w:overflowPunct/>
        <w:topLinePunct w:val="0"/>
        <w:autoSpaceDE/>
        <w:autoSpaceDN/>
        <w:bidi w:val="0"/>
        <w:adjustRightInd/>
        <w:snapToGrid/>
        <w:spacing w:line="520" w:lineRule="exact"/>
        <w:ind w:left="0" w:leftChars="0" w:firstLine="3998" w:firstLineChars="1428"/>
        <w:jc w:val="center"/>
        <w:textAlignment w:val="auto"/>
        <w:rPr>
          <w:rFonts w:hint="eastAsia" w:ascii="仿宋" w:hAnsi="仿宋" w:eastAsia="仿宋" w:cs="仿宋"/>
          <w:color w:val="auto"/>
          <w:kern w:val="0"/>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0"/>
          <w:sz w:val="28"/>
          <w:szCs w:val="28"/>
          <w:highlight w:val="none"/>
        </w:rPr>
        <w:t>2025</w:t>
      </w:r>
      <w:r>
        <w:rPr>
          <w:rFonts w:hint="eastAsia" w:ascii="仿宋" w:hAnsi="仿宋" w:eastAsia="仿宋" w:cs="仿宋"/>
          <w:color w:val="auto"/>
          <w:kern w:val="0"/>
          <w:sz w:val="28"/>
          <w:szCs w:val="28"/>
          <w:highlight w:val="none"/>
          <w:lang w:val="en-US" w:eastAsia="zh-CN"/>
        </w:rPr>
        <w:t>年11月13日</w:t>
      </w:r>
    </w:p>
    <w:p w14:paraId="1EA1B35C">
      <w:pPr>
        <w:spacing w:line="460" w:lineRule="exact"/>
        <w:jc w:val="left"/>
        <w:rPr>
          <w:rFonts w:hint="eastAsia" w:ascii="宋体" w:hAnsi="宋体" w:eastAsia="宋体" w:cs="宋体"/>
          <w:color w:val="auto"/>
          <w:sz w:val="28"/>
          <w:szCs w:val="28"/>
          <w:lang w:val="en-GB"/>
        </w:rPr>
      </w:pPr>
      <w:r>
        <w:rPr>
          <w:rFonts w:hint="eastAsia" w:ascii="宋体" w:hAnsi="宋体" w:eastAsia="宋体" w:cs="宋体"/>
          <w:color w:val="auto"/>
          <w:sz w:val="28"/>
          <w:szCs w:val="28"/>
        </w:rPr>
        <w:t>附件1</w:t>
      </w:r>
    </w:p>
    <w:p w14:paraId="4153BE1C">
      <w:pPr>
        <w:spacing w:line="460" w:lineRule="exact"/>
        <w:jc w:val="center"/>
        <w:rPr>
          <w:rFonts w:hint="eastAsia" w:ascii="宋体" w:hAnsi="宋体" w:eastAsia="宋体" w:cs="宋体"/>
          <w:b/>
          <w:bCs/>
          <w:color w:val="auto"/>
          <w:sz w:val="28"/>
          <w:szCs w:val="28"/>
        </w:rPr>
      </w:pPr>
    </w:p>
    <w:p w14:paraId="1127F98C">
      <w:pPr>
        <w:spacing w:line="4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法人代表委托书</w:t>
      </w:r>
    </w:p>
    <w:p w14:paraId="7C790CA1">
      <w:pPr>
        <w:spacing w:line="480" w:lineRule="auto"/>
        <w:rPr>
          <w:rFonts w:hint="eastAsia" w:ascii="宋体" w:hAnsi="宋体" w:eastAsia="宋体" w:cs="宋体"/>
          <w:color w:val="auto"/>
          <w:sz w:val="28"/>
          <w:szCs w:val="28"/>
        </w:rPr>
      </w:pPr>
    </w:p>
    <w:p w14:paraId="4D279BB9">
      <w:pPr>
        <w:spacing w:line="480" w:lineRule="auto"/>
        <w:ind w:firstLine="482"/>
        <w:rPr>
          <w:rFonts w:hint="eastAsia" w:ascii="宋体" w:hAnsi="宋体" w:eastAsia="宋体" w:cs="宋体"/>
          <w:color w:val="auto"/>
          <w:sz w:val="28"/>
          <w:szCs w:val="28"/>
        </w:rPr>
      </w:pPr>
      <w:r>
        <w:rPr>
          <w:rFonts w:hint="eastAsia" w:ascii="宋体" w:hAnsi="宋体" w:eastAsia="宋体" w:cs="宋体"/>
          <w:color w:val="auto"/>
          <w:sz w:val="28"/>
          <w:szCs w:val="28"/>
        </w:rPr>
        <w:t>本授权书声明：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（投标商名称）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（法定代表人姓名、职务）授权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（被授权人的姓名、职务）为我方公司</w:t>
      </w:r>
      <w:r>
        <w:rPr>
          <w:rFonts w:hint="eastAsia" w:ascii="宋体" w:hAnsi="宋体" w:eastAsia="宋体" w:cs="宋体"/>
          <w:color w:val="auto"/>
          <w:sz w:val="28"/>
          <w:szCs w:val="28"/>
          <w:u w:val="single"/>
        </w:rPr>
        <w:t xml:space="preserve">            </w:t>
      </w:r>
      <w:r>
        <w:rPr>
          <w:rFonts w:hint="eastAsia" w:ascii="宋体" w:hAnsi="宋体" w:eastAsia="宋体" w:cs="宋体"/>
          <w:bCs/>
          <w:color w:val="auto"/>
          <w:sz w:val="28"/>
          <w:szCs w:val="28"/>
        </w:rPr>
        <w:t>项目</w:t>
      </w:r>
      <w:r>
        <w:rPr>
          <w:rFonts w:hint="eastAsia" w:ascii="宋体" w:hAnsi="宋体" w:eastAsia="宋体" w:cs="宋体"/>
          <w:color w:val="auto"/>
          <w:sz w:val="28"/>
          <w:szCs w:val="28"/>
        </w:rPr>
        <w:t>的合法代理人，以本公司名义全权处理一切与该项目有关的事务（含合同签订）。</w:t>
      </w:r>
    </w:p>
    <w:p w14:paraId="6E1ED37C">
      <w:pPr>
        <w:tabs>
          <w:tab w:val="left" w:pos="5560"/>
        </w:tabs>
        <w:spacing w:line="480" w:lineRule="auto"/>
        <w:ind w:firstLine="646"/>
        <w:rPr>
          <w:rFonts w:hint="eastAsia" w:ascii="宋体" w:hAnsi="宋体" w:eastAsia="宋体" w:cs="宋体"/>
          <w:color w:val="auto"/>
          <w:sz w:val="28"/>
          <w:szCs w:val="28"/>
        </w:rPr>
      </w:pPr>
      <w:r>
        <w:rPr>
          <w:rFonts w:hint="eastAsia" w:ascii="宋体" w:hAnsi="宋体" w:eastAsia="宋体" w:cs="宋体"/>
          <w:color w:val="auto"/>
          <w:sz w:val="28"/>
          <w:szCs w:val="28"/>
        </w:rPr>
        <w:tab/>
      </w:r>
    </w:p>
    <w:p w14:paraId="443933EF">
      <w:pPr>
        <w:spacing w:line="480" w:lineRule="auto"/>
        <w:ind w:firstLine="645"/>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p w14:paraId="440F6085">
      <w:pPr>
        <w:spacing w:line="480" w:lineRule="auto"/>
        <w:ind w:firstLine="645"/>
        <w:rPr>
          <w:rFonts w:hint="eastAsia" w:ascii="宋体" w:hAnsi="宋体" w:eastAsia="宋体" w:cs="宋体"/>
          <w:color w:val="auto"/>
          <w:sz w:val="28"/>
          <w:szCs w:val="28"/>
        </w:rPr>
      </w:pPr>
    </w:p>
    <w:p w14:paraId="752A9CD7">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法人代表签字：</w:t>
      </w:r>
    </w:p>
    <w:p w14:paraId="286A3A13">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投标单位全称（公章）：</w:t>
      </w:r>
    </w:p>
    <w:p w14:paraId="2F60C457">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w:t>
      </w:r>
    </w:p>
    <w:p w14:paraId="135E22E0">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附：</w:t>
      </w:r>
    </w:p>
    <w:p w14:paraId="1FE1D4F0">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全权代表姓名：</w:t>
      </w:r>
    </w:p>
    <w:p w14:paraId="336E4098">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职        务：</w:t>
      </w:r>
    </w:p>
    <w:p w14:paraId="5E814BE2">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详细通讯地址：</w:t>
      </w:r>
    </w:p>
    <w:p w14:paraId="37467D44">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邮 政 编 码：</w:t>
      </w:r>
    </w:p>
    <w:p w14:paraId="79F80188">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5A15449C">
      <w:pPr>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rPr>
        <w:t>电       话：</w:t>
      </w:r>
      <w:r>
        <w:rPr>
          <w:rFonts w:hint="eastAsia" w:ascii="宋体" w:hAnsi="宋体" w:eastAsia="宋体" w:cs="宋体"/>
          <w:color w:val="auto"/>
          <w:sz w:val="28"/>
          <w:szCs w:val="28"/>
          <w:highlight w:val="yellow"/>
          <w:lang w:val="en-US" w:eastAsia="zh-CN"/>
        </w:rPr>
        <w:br w:type="page"/>
      </w:r>
    </w:p>
    <w:p w14:paraId="77797A48">
      <w:pPr>
        <w:spacing w:line="360" w:lineRule="auto"/>
        <w:jc w:val="left"/>
        <w:rPr>
          <w:rFonts w:ascii="宋体" w:hAnsi="宋体" w:cs="宋体"/>
          <w:color w:val="auto"/>
          <w:sz w:val="28"/>
          <w:szCs w:val="28"/>
        </w:rPr>
      </w:pPr>
      <w:r>
        <w:rPr>
          <w:rFonts w:hint="eastAsia" w:ascii="宋体" w:hAnsi="宋体" w:cs="宋体"/>
          <w:color w:val="auto"/>
          <w:sz w:val="28"/>
          <w:szCs w:val="28"/>
        </w:rPr>
        <w:t>附件2</w:t>
      </w:r>
    </w:p>
    <w:p w14:paraId="57EC4483">
      <w:pPr>
        <w:spacing w:line="4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项目廉政责任书</w:t>
      </w:r>
    </w:p>
    <w:p w14:paraId="0BA41A99">
      <w:pPr>
        <w:spacing w:line="360" w:lineRule="auto"/>
        <w:ind w:firstLine="600"/>
        <w:jc w:val="center"/>
        <w:rPr>
          <w:rFonts w:ascii="宋体" w:hAnsi="宋体" w:cs="宋体"/>
          <w:b/>
          <w:color w:val="auto"/>
          <w:sz w:val="28"/>
          <w:szCs w:val="28"/>
        </w:rPr>
      </w:pPr>
    </w:p>
    <w:p w14:paraId="0A21477F">
      <w:pPr>
        <w:spacing w:line="360" w:lineRule="auto"/>
        <w:rPr>
          <w:rFonts w:ascii="宋体" w:hAnsi="宋体"/>
          <w:color w:val="auto"/>
          <w:sz w:val="28"/>
          <w:szCs w:val="28"/>
        </w:rPr>
      </w:pPr>
      <w:r>
        <w:rPr>
          <w:rFonts w:hint="eastAsia" w:ascii="宋体" w:hAnsi="宋体"/>
          <w:color w:val="auto"/>
          <w:sz w:val="28"/>
          <w:szCs w:val="28"/>
        </w:rPr>
        <w:t>甲方：上海市第一妇婴保健院</w:t>
      </w:r>
    </w:p>
    <w:p w14:paraId="37987083">
      <w:pPr>
        <w:spacing w:line="360" w:lineRule="auto"/>
        <w:rPr>
          <w:rFonts w:ascii="宋体" w:hAnsi="宋体"/>
          <w:color w:val="auto"/>
          <w:sz w:val="28"/>
          <w:szCs w:val="28"/>
        </w:rPr>
      </w:pPr>
      <w:r>
        <w:rPr>
          <w:rFonts w:hint="eastAsia" w:ascii="宋体" w:hAnsi="宋体"/>
          <w:color w:val="auto"/>
          <w:sz w:val="28"/>
          <w:szCs w:val="28"/>
        </w:rPr>
        <w:t>乙方：</w:t>
      </w:r>
    </w:p>
    <w:p w14:paraId="4E5E3C58">
      <w:pPr>
        <w:snapToGrid w:val="0"/>
        <w:spacing w:line="360" w:lineRule="auto"/>
        <w:rPr>
          <w:rFonts w:hint="eastAsia" w:ascii="宋体" w:hAnsi="宋体"/>
          <w:color w:val="auto"/>
          <w:sz w:val="28"/>
          <w:szCs w:val="28"/>
        </w:rPr>
      </w:pPr>
    </w:p>
    <w:p w14:paraId="105A2431">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为了在项目中保持廉洁自律的工作作风，防止各种不正当行为的发生，根据国家和上海市有各项规定的特点，特订立本协议如下：</w:t>
      </w:r>
    </w:p>
    <w:p w14:paraId="18CC3EA1">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一、甲乙双方应当自觉遵守国家和上海市有关廉政建设的各项规定。</w:t>
      </w:r>
    </w:p>
    <w:p w14:paraId="52BB287D">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二、甲方及其工作人员不得以任何形式向乙方索要和收受回扣等好处费。</w:t>
      </w:r>
    </w:p>
    <w:p w14:paraId="4827C6D4">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三、甲方工作人员应当保持与乙方的正常业务交往，不得接受乙方的礼金、有价证券和贵重物品，不得在乙方报销任何应由个人支付的费用。</w:t>
      </w:r>
    </w:p>
    <w:p w14:paraId="790DD393">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四、甲方工作人员不得参加可能对公正执行公务有影响的宴请和娱乐活动。</w:t>
      </w:r>
    </w:p>
    <w:p w14:paraId="39FD5386">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五、甲方工作人员不得要求或者接受乙方为其住房装修、婚丧嫁娶、家属和子女的工作安排以及出国等提供方便。</w:t>
      </w:r>
    </w:p>
    <w:p w14:paraId="3DCAFC96">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六、甲方工作人员不得向乙方介绍家属或者亲友从事有关的经济活动。</w:t>
      </w:r>
    </w:p>
    <w:p w14:paraId="1FAD4CC3">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七、乙方应当通过正常途径开展相对业务工作，不得为获取某些不正当利益而向甲方工作人员赠送礼金、有价证券和贵重物品等。</w:t>
      </w:r>
    </w:p>
    <w:p w14:paraId="2F0A03F9">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八、乙方不得为谋取私利擅自与甲方工作人员进行私下商谈或者达成默契。</w:t>
      </w:r>
    </w:p>
    <w:p w14:paraId="3C163414">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九、乙方不得以洽谈业务、签订经济合同为借口，邀请甲方工作人员外出旅游和进入营业性高档娱乐场所。</w:t>
      </w:r>
    </w:p>
    <w:p w14:paraId="67E35BB4">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十、乙方不得为甲方单位和个人购置或者提供通讯工具、交通工具、家电、高档办公用品等物品。</w:t>
      </w:r>
    </w:p>
    <w:p w14:paraId="28B8ABE8">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29F2FED2">
      <w:pPr>
        <w:snapToGrid w:val="0"/>
        <w:spacing w:line="360" w:lineRule="auto"/>
        <w:ind w:firstLine="480"/>
        <w:rPr>
          <w:rFonts w:ascii="宋体" w:hAnsi="宋体"/>
          <w:color w:val="auto"/>
          <w:sz w:val="28"/>
          <w:szCs w:val="28"/>
        </w:rPr>
      </w:pPr>
      <w:r>
        <w:rPr>
          <w:rFonts w:hint="eastAsia" w:ascii="宋体" w:hAnsi="宋体"/>
          <w:color w:val="auto"/>
          <w:sz w:val="28"/>
          <w:szCs w:val="28"/>
        </w:rPr>
        <w:t>十二、甲方发现乙方有违反本协议或者采用不正当的手段行贿甲方工作人员，甲方根据具体情节和造成的后果追究乙方本合同总金额的</w:t>
      </w:r>
      <w:r>
        <w:rPr>
          <w:rFonts w:ascii="宋体" w:hAnsi="宋体"/>
          <w:color w:val="auto"/>
          <w:sz w:val="28"/>
          <w:szCs w:val="28"/>
        </w:rPr>
        <w:t xml:space="preserve"> l ~ 5</w:t>
      </w:r>
      <w:r>
        <w:rPr>
          <w:rFonts w:hint="eastAsia" w:ascii="宋体" w:hAnsi="宋体"/>
          <w:color w:val="auto"/>
          <w:sz w:val="28"/>
          <w:szCs w:val="28"/>
        </w:rPr>
        <w:t>％的违约金。由此给甲方单位造成的损失均由乙方承担。</w:t>
      </w:r>
    </w:p>
    <w:p w14:paraId="0A70296C">
      <w:pPr>
        <w:snapToGrid w:val="0"/>
        <w:spacing w:line="360" w:lineRule="auto"/>
        <w:ind w:firstLine="480"/>
        <w:rPr>
          <w:rFonts w:ascii="宋体" w:hAnsi="宋体"/>
          <w:color w:val="auto"/>
          <w:sz w:val="28"/>
          <w:szCs w:val="28"/>
        </w:rPr>
      </w:pPr>
      <w:r>
        <w:rPr>
          <w:rFonts w:hint="eastAsia" w:ascii="宋体" w:hAnsi="宋体"/>
          <w:color w:val="auto"/>
          <w:sz w:val="28"/>
          <w:szCs w:val="28"/>
        </w:rPr>
        <w:t>十三、本廉洁协议作为项目合同的附件，与项目合同具有同等法律效力。经协议双方签署后立即生效。</w:t>
      </w:r>
    </w:p>
    <w:p w14:paraId="0337365D">
      <w:pPr>
        <w:snapToGrid w:val="0"/>
        <w:spacing w:line="360" w:lineRule="auto"/>
        <w:ind w:firstLine="560" w:firstLineChars="200"/>
        <w:rPr>
          <w:rFonts w:ascii="宋体" w:hAnsi="宋体"/>
          <w:color w:val="auto"/>
          <w:sz w:val="28"/>
          <w:szCs w:val="28"/>
        </w:rPr>
      </w:pPr>
    </w:p>
    <w:p w14:paraId="58D2358B">
      <w:pPr>
        <w:snapToGrid w:val="0"/>
        <w:spacing w:line="360" w:lineRule="auto"/>
        <w:ind w:firstLine="560" w:firstLineChars="200"/>
        <w:rPr>
          <w:rFonts w:ascii="宋体" w:hAnsi="宋体"/>
          <w:color w:val="auto"/>
          <w:sz w:val="28"/>
          <w:szCs w:val="28"/>
        </w:rPr>
      </w:pPr>
    </w:p>
    <w:p w14:paraId="124D506F">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甲方：</w:t>
      </w:r>
      <w:r>
        <w:rPr>
          <w:rFonts w:ascii="宋体" w:hAnsi="宋体"/>
          <w:color w:val="auto"/>
          <w:sz w:val="28"/>
          <w:szCs w:val="28"/>
        </w:rPr>
        <w:t>(</w:t>
      </w:r>
      <w:r>
        <w:rPr>
          <w:rFonts w:hint="eastAsia" w:ascii="宋体" w:hAnsi="宋体"/>
          <w:color w:val="auto"/>
          <w:sz w:val="28"/>
          <w:szCs w:val="28"/>
        </w:rPr>
        <w:t>盖章</w:t>
      </w:r>
      <w:r>
        <w:rPr>
          <w:rFonts w:ascii="宋体" w:hAnsi="宋体"/>
          <w:color w:val="auto"/>
          <w:sz w:val="28"/>
          <w:szCs w:val="28"/>
        </w:rPr>
        <w:t xml:space="preserve">)           </w:t>
      </w:r>
      <w:r>
        <w:rPr>
          <w:rFonts w:hint="eastAsia" w:ascii="宋体" w:hAnsi="宋体"/>
          <w:color w:val="auto"/>
          <w:sz w:val="28"/>
          <w:szCs w:val="28"/>
        </w:rPr>
        <w:tab/>
      </w:r>
      <w:r>
        <w:rPr>
          <w:rFonts w:hint="eastAsia" w:ascii="宋体" w:hAnsi="宋体"/>
          <w:color w:val="auto"/>
          <w:sz w:val="28"/>
          <w:szCs w:val="28"/>
        </w:rPr>
        <w:tab/>
      </w:r>
      <w:r>
        <w:rPr>
          <w:rFonts w:hint="eastAsia" w:ascii="宋体" w:hAnsi="宋体"/>
          <w:color w:val="auto"/>
          <w:sz w:val="28"/>
          <w:szCs w:val="28"/>
        </w:rPr>
        <w:t xml:space="preserve">           乙方：</w:t>
      </w:r>
      <w:r>
        <w:rPr>
          <w:rFonts w:ascii="宋体" w:hAnsi="宋体"/>
          <w:color w:val="auto"/>
          <w:sz w:val="28"/>
          <w:szCs w:val="28"/>
        </w:rPr>
        <w:t>(</w:t>
      </w:r>
      <w:r>
        <w:rPr>
          <w:rFonts w:hint="eastAsia" w:ascii="宋体" w:hAnsi="宋体"/>
          <w:color w:val="auto"/>
          <w:sz w:val="28"/>
          <w:szCs w:val="28"/>
        </w:rPr>
        <w:t>盖章</w:t>
      </w:r>
      <w:r>
        <w:rPr>
          <w:rFonts w:ascii="宋体" w:hAnsi="宋体"/>
          <w:color w:val="auto"/>
          <w:sz w:val="28"/>
          <w:szCs w:val="28"/>
        </w:rPr>
        <w:t>)</w:t>
      </w:r>
    </w:p>
    <w:p w14:paraId="74C9EBF2">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法定代表人：</w:t>
      </w:r>
      <w:r>
        <w:rPr>
          <w:rFonts w:ascii="宋体" w:hAnsi="宋体"/>
          <w:color w:val="auto"/>
          <w:sz w:val="28"/>
          <w:szCs w:val="28"/>
        </w:rPr>
        <w:t xml:space="preserve">                </w:t>
      </w:r>
      <w:r>
        <w:rPr>
          <w:rFonts w:hint="eastAsia" w:ascii="宋体" w:hAnsi="宋体"/>
          <w:color w:val="auto"/>
          <w:sz w:val="28"/>
          <w:szCs w:val="28"/>
        </w:rPr>
        <w:tab/>
      </w:r>
      <w:r>
        <w:rPr>
          <w:rFonts w:hint="eastAsia" w:ascii="宋体" w:hAnsi="宋体"/>
          <w:color w:val="auto"/>
          <w:sz w:val="28"/>
          <w:szCs w:val="28"/>
        </w:rPr>
        <w:tab/>
      </w:r>
      <w:r>
        <w:rPr>
          <w:rFonts w:hint="eastAsia" w:ascii="宋体" w:hAnsi="宋体"/>
          <w:color w:val="auto"/>
          <w:sz w:val="28"/>
          <w:szCs w:val="28"/>
        </w:rPr>
        <w:tab/>
      </w:r>
      <w:r>
        <w:rPr>
          <w:rFonts w:hint="eastAsia" w:ascii="宋体" w:hAnsi="宋体"/>
          <w:color w:val="auto"/>
          <w:sz w:val="28"/>
          <w:szCs w:val="28"/>
        </w:rPr>
        <w:t xml:space="preserve">  法定代表人：</w:t>
      </w:r>
    </w:p>
    <w:p w14:paraId="1F3A8E9A">
      <w:pPr>
        <w:snapToGrid w:val="0"/>
        <w:spacing w:line="360" w:lineRule="auto"/>
        <w:jc w:val="left"/>
        <w:rPr>
          <w:rFonts w:ascii="宋体" w:hAnsi="宋体"/>
          <w:color w:val="auto"/>
          <w:sz w:val="28"/>
          <w:szCs w:val="28"/>
        </w:rPr>
      </w:pPr>
    </w:p>
    <w:p w14:paraId="7DADB61D">
      <w:pPr>
        <w:snapToGrid w:val="0"/>
        <w:spacing w:line="360" w:lineRule="auto"/>
        <w:jc w:val="left"/>
        <w:rPr>
          <w:rFonts w:ascii="仿宋" w:hAnsi="仿宋" w:eastAsia="仿宋"/>
          <w:color w:val="auto"/>
          <w:sz w:val="28"/>
          <w:szCs w:val="28"/>
        </w:rPr>
      </w:pPr>
      <w:r>
        <w:rPr>
          <w:rFonts w:hint="eastAsia" w:ascii="宋体" w:hAnsi="宋体"/>
          <w:color w:val="auto"/>
          <w:sz w:val="28"/>
          <w:szCs w:val="28"/>
        </w:rPr>
        <w:t xml:space="preserve">                             签约日期：     年</w:t>
      </w:r>
      <w:r>
        <w:rPr>
          <w:rFonts w:ascii="宋体" w:hAnsi="宋体"/>
          <w:color w:val="auto"/>
          <w:sz w:val="28"/>
          <w:szCs w:val="28"/>
        </w:rPr>
        <w:t xml:space="preserve">   </w:t>
      </w:r>
      <w:r>
        <w:rPr>
          <w:rFonts w:hint="eastAsia" w:ascii="宋体" w:hAnsi="宋体"/>
          <w:color w:val="auto"/>
          <w:sz w:val="28"/>
          <w:szCs w:val="28"/>
        </w:rPr>
        <w:t>月</w:t>
      </w:r>
      <w:r>
        <w:rPr>
          <w:rFonts w:ascii="宋体" w:hAnsi="宋体"/>
          <w:color w:val="auto"/>
          <w:sz w:val="28"/>
          <w:szCs w:val="28"/>
        </w:rPr>
        <w:t xml:space="preserve">   </w:t>
      </w:r>
      <w:r>
        <w:rPr>
          <w:rFonts w:hint="eastAsia" w:ascii="宋体" w:hAnsi="宋体"/>
          <w:color w:val="auto"/>
          <w:sz w:val="28"/>
          <w:szCs w:val="28"/>
        </w:rPr>
        <w:t>日</w:t>
      </w:r>
    </w:p>
    <w:p w14:paraId="3CF7E43F">
      <w:pPr>
        <w:pStyle w:val="11"/>
        <w:spacing w:line="360" w:lineRule="auto"/>
        <w:rPr>
          <w:rFonts w:hint="default"/>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1E2C1"/>
    <w:multiLevelType w:val="singleLevel"/>
    <w:tmpl w:val="1521E2C1"/>
    <w:lvl w:ilvl="0" w:tentative="0">
      <w:start w:val="2"/>
      <w:numFmt w:val="decimal"/>
      <w:lvlText w:val="%1."/>
      <w:lvlJc w:val="left"/>
      <w:pPr>
        <w:tabs>
          <w:tab w:val="left" w:pos="312"/>
        </w:tabs>
      </w:pPr>
    </w:lvl>
  </w:abstractNum>
  <w:abstractNum w:abstractNumId="1">
    <w:nsid w:val="3C5EBE7A"/>
    <w:multiLevelType w:val="singleLevel"/>
    <w:tmpl w:val="3C5EBE7A"/>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9288F"/>
    <w:rsid w:val="09630EDC"/>
    <w:rsid w:val="14E82085"/>
    <w:rsid w:val="2EFA733D"/>
    <w:rsid w:val="3071362F"/>
    <w:rsid w:val="39F35F41"/>
    <w:rsid w:val="45B9288F"/>
    <w:rsid w:val="47170634"/>
    <w:rsid w:val="486B5272"/>
    <w:rsid w:val="4D292E6F"/>
    <w:rsid w:val="4F582E30"/>
    <w:rsid w:val="4FB05ACA"/>
    <w:rsid w:val="4FD87A55"/>
    <w:rsid w:val="5CB15AF0"/>
    <w:rsid w:val="60CF6A44"/>
    <w:rsid w:val="74AE33C7"/>
    <w:rsid w:val="784C3FFD"/>
    <w:rsid w:val="7D61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table" w:customStyle="1" w:styleId="9">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cs="宋体"/>
      <w:sz w:val="20"/>
      <w:szCs w:val="20"/>
      <w:lang w:eastAsia="en-US"/>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2680</Words>
  <Characters>2885</Characters>
  <Lines>0</Lines>
  <Paragraphs>0</Paragraphs>
  <TotalTime>10</TotalTime>
  <ScaleCrop>false</ScaleCrop>
  <LinksUpToDate>false</LinksUpToDate>
  <CharactersWithSpaces>3118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2025-05-26T08:55:00Z</dcterms:created>
  <dc:creator>　　　　　</dc:creator>
  <cp:lastModifiedBy>HImiGo</cp:lastModifiedBy>
  <dcterms:modified xsi:type="dcterms:W3CDTF">2025-11-12T02:55:58Z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F34EC963CCEB42BF81B92B1D324A03EC_11</vt:lpwstr>
  </property>
  <property fmtid="{D5CDD505-2E9C-101B-9397-08002B2CF9AE}" pid="4" name="KSOTemplateDocerSaveRecord">
    <vt:lpwstr>eyJoZGlkIjoiMzAwNzU1MmJiYzVmNGI3NzNlNjNlZTY3Mzc5NDFkNzAiLCJ1c2VySWQiOiIzMDg3MTg4NzgifQ==</vt:lpwstr>
  </property>
</Properties>
</file>